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E5224" w:rsidRDefault="00000000" w:rsidP="00DC249B">
      <w:pPr>
        <w:pStyle w:val="Title"/>
        <w:jc w:val="center"/>
      </w:pPr>
      <w:r>
        <w:t>IFRS 9 Session 2 Notes</w:t>
      </w:r>
      <w:r>
        <w:br/>
      </w:r>
    </w:p>
    <w:p w:rsidR="009E5224" w:rsidRDefault="00C509DC">
      <w:pPr>
        <w:spacing w:after="80"/>
      </w:pPr>
      <w:r>
        <w:t>T</w:t>
      </w:r>
      <w:r w:rsidR="00000000">
        <w:t>he business logic behind a loan, how a bank records income and expense, and why provisions are needed in the first place.</w:t>
      </w:r>
    </w:p>
    <w:p w:rsidR="00DC249B" w:rsidRDefault="00000000">
      <w:pPr>
        <w:spacing w:after="80"/>
      </w:pPr>
      <w:r>
        <w:t xml:space="preserve">Simple idea: a bank collects money from depositors, lends that money to borrowers, and earns interest. </w:t>
      </w:r>
    </w:p>
    <w:p w:rsidR="00DC249B" w:rsidRDefault="00000000">
      <w:pPr>
        <w:spacing w:after="80"/>
      </w:pPr>
      <w:r>
        <w:t xml:space="preserve">The danger is that some borrowers may not repay. </w:t>
      </w:r>
    </w:p>
    <w:p w:rsidR="009E5224" w:rsidRDefault="00000000">
      <w:pPr>
        <w:spacing w:after="80"/>
      </w:pPr>
      <w:r>
        <w:t>That is why banks keep aside provisions.</w:t>
      </w:r>
    </w:p>
    <w:p w:rsidR="009E5224" w:rsidRDefault="00000000">
      <w:r>
        <w:rPr>
          <w:noProof/>
        </w:rPr>
        <w:drawing>
          <wp:inline distT="0" distB="0" distL="0" distR="0">
            <wp:extent cx="6217920" cy="24456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1_banking_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4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224" w:rsidRDefault="00000000">
      <w:pPr>
        <w:jc w:val="center"/>
      </w:pPr>
      <w:r>
        <w:rPr>
          <w:b/>
        </w:rPr>
        <w:t>Figure 1. Basic bank lending flow</w:t>
      </w:r>
    </w:p>
    <w:p w:rsidR="009E5224" w:rsidRDefault="00000000">
      <w:pPr>
        <w:pStyle w:val="Heading1"/>
      </w:pPr>
      <w:r>
        <w:t>2. Retail portfolio vs commercial portfolio</w:t>
      </w:r>
    </w:p>
    <w:p w:rsidR="00DC249B" w:rsidRDefault="00000000">
      <w:pPr>
        <w:spacing w:after="80"/>
      </w:pPr>
      <w:r>
        <w:t xml:space="preserve">The bank’s lending book is split into two broad buckets: retail and commercial. </w:t>
      </w:r>
    </w:p>
    <w:p w:rsidR="009E5224" w:rsidRDefault="00C509DC">
      <w:pPr>
        <w:spacing w:after="80"/>
      </w:pPr>
      <w:r>
        <w:t>E</w:t>
      </w:r>
      <w:r w:rsidR="00000000">
        <w:t>xplains that retail portfolios usually have many borrowers with small average exposure, while commercial portfolios usually have fewer borrowers with much larger exposure.</w:t>
      </w:r>
    </w:p>
    <w:p w:rsidR="009E5224" w:rsidRDefault="00000000">
      <w:pPr>
        <w:pStyle w:val="ListBullet"/>
        <w:spacing w:after="40"/>
        <w:ind w:left="0"/>
      </w:pPr>
      <w:r>
        <w:t>Retail: many accounts, small exposure per account.</w:t>
      </w:r>
    </w:p>
    <w:p w:rsidR="009E5224" w:rsidRDefault="00000000">
      <w:pPr>
        <w:pStyle w:val="ListBullet"/>
        <w:spacing w:after="40"/>
        <w:ind w:left="0"/>
      </w:pPr>
      <w:r>
        <w:t>Commercial: fewer accounts, high exposure per account.</w:t>
      </w:r>
    </w:p>
    <w:p w:rsidR="009E5224" w:rsidRDefault="00000000">
      <w:pPr>
        <w:spacing w:after="80"/>
      </w:pPr>
      <w:r>
        <w:t>Why this matters: retail modeling often has enough data because the number of accounts is large. Commercial portfolios can be low-default portfolios, so finding enough default cases becomes harder.</w:t>
      </w:r>
    </w:p>
    <w:p w:rsidR="00DC249B" w:rsidRDefault="00C509DC">
      <w:pPr>
        <w:spacing w:after="80"/>
      </w:pPr>
      <w:r>
        <w:t>R</w:t>
      </w:r>
      <w:r w:rsidR="00000000">
        <w:t xml:space="preserve">etail portfolios often use logistic regression, while commercial portfolios may use methods like the Pluto/Tasche approach. </w:t>
      </w:r>
    </w:p>
    <w:p w:rsidR="009E5224" w:rsidRDefault="00000000">
      <w:pPr>
        <w:spacing w:after="80"/>
      </w:pPr>
      <w:r>
        <w:t>That is simply a way of saying: the modeling tool depends on the type of portfolio and the amount of default data available.</w:t>
      </w:r>
    </w:p>
    <w:p w:rsidR="00DC249B" w:rsidRDefault="00DC249B">
      <w:pPr>
        <w:spacing w:after="80"/>
      </w:pPr>
    </w:p>
    <w:p w:rsidR="009E5224" w:rsidRDefault="00000000">
      <w:pPr>
        <w:pStyle w:val="Heading1"/>
      </w:pPr>
      <w:r>
        <w:lastRenderedPageBreak/>
        <w:t xml:space="preserve">3. Basel retail classification </w:t>
      </w:r>
    </w:p>
    <w:p w:rsidR="009E5224" w:rsidRDefault="00C509DC">
      <w:pPr>
        <w:spacing w:after="80"/>
      </w:pPr>
      <w:r>
        <w:t>R</w:t>
      </w:r>
      <w:r w:rsidR="00000000">
        <w:t>etail assets into three broad buckets under Basel: revolving retail exposures such as credit cards and overdrafts, mortgages, and other retail loans such as personal loans and auto loans.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9E5224">
        <w:trPr>
          <w:jc w:val="center"/>
        </w:trPr>
        <w:tc>
          <w:tcPr>
            <w:tcW w:w="50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E5224" w:rsidRDefault="00000000">
            <w:r>
              <w:rPr>
                <w:b/>
              </w:rPr>
              <w:t>Bucket</w:t>
            </w:r>
          </w:p>
        </w:tc>
        <w:tc>
          <w:tcPr>
            <w:tcW w:w="50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E5224" w:rsidRDefault="00000000">
            <w:r>
              <w:rPr>
                <w:b/>
              </w:rPr>
              <w:t>Examples / meaning</w:t>
            </w:r>
          </w:p>
        </w:tc>
      </w:tr>
      <w:tr w:rsidR="009E5224">
        <w:trPr>
          <w:jc w:val="center"/>
        </w:trPr>
        <w:tc>
          <w:tcPr>
            <w:tcW w:w="5040" w:type="dxa"/>
            <w:shd w:val="clear" w:color="auto" w:fill="F8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E5224" w:rsidRDefault="00000000">
            <w:r>
              <w:t>Revolving retail exposure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E5224" w:rsidRDefault="00000000">
            <w:r>
              <w:t>Credit cards, overdrafts, open-ended products.</w:t>
            </w:r>
          </w:p>
        </w:tc>
      </w:tr>
      <w:tr w:rsidR="009E5224">
        <w:trPr>
          <w:jc w:val="center"/>
        </w:trPr>
        <w:tc>
          <w:tcPr>
            <w:tcW w:w="5040" w:type="dxa"/>
            <w:shd w:val="clear" w:color="auto" w:fill="F8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E5224" w:rsidRDefault="00000000">
            <w:r>
              <w:t>Mortgages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E5224" w:rsidRDefault="00000000">
            <w:r>
              <w:t>Home loans backed by the house itself.</w:t>
            </w:r>
          </w:p>
        </w:tc>
      </w:tr>
      <w:tr w:rsidR="009E5224">
        <w:trPr>
          <w:jc w:val="center"/>
        </w:trPr>
        <w:tc>
          <w:tcPr>
            <w:tcW w:w="5040" w:type="dxa"/>
            <w:shd w:val="clear" w:color="auto" w:fill="F8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E5224" w:rsidRDefault="00000000">
            <w:r>
              <w:t>Other retail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E5224" w:rsidRDefault="00000000">
            <w:r>
              <w:t>Personal loans, auto loans, and similar products.</w:t>
            </w:r>
          </w:p>
        </w:tc>
      </w:tr>
    </w:tbl>
    <w:p w:rsidR="00C509DC" w:rsidRDefault="00C509DC">
      <w:pPr>
        <w:spacing w:after="80"/>
      </w:pPr>
    </w:p>
    <w:p w:rsidR="009E5224" w:rsidRDefault="00000000">
      <w:pPr>
        <w:spacing w:after="80"/>
      </w:pPr>
      <w:r>
        <w:t>Important learning point: in Basel, the classification is driven mainly by risk behavior and exposure pattern. A credit card behaves very differently from a mortgage, so Basel separates them.</w:t>
      </w:r>
    </w:p>
    <w:p w:rsidR="009E5224" w:rsidRDefault="00000000">
      <w:pPr>
        <w:pStyle w:val="Heading1"/>
      </w:pPr>
      <w:r>
        <w:t>4. How a bank’s P&amp;L works</w:t>
      </w:r>
    </w:p>
    <w:p w:rsidR="009E5224" w:rsidRDefault="00C509DC">
      <w:pPr>
        <w:spacing w:after="80"/>
      </w:pPr>
      <w:r>
        <w:t>T</w:t>
      </w:r>
      <w:r w:rsidR="00000000">
        <w:t>he profit and loss statement in a very simple way: income minus expenditure gives profit or loss.</w:t>
      </w:r>
    </w:p>
    <w:p w:rsidR="009E5224" w:rsidRDefault="00000000">
      <w:pPr>
        <w:pStyle w:val="ListBullet"/>
        <w:spacing w:after="40"/>
        <w:ind w:left="0"/>
      </w:pPr>
      <w:r>
        <w:t>Income can be interest income and non-interest income.</w:t>
      </w:r>
    </w:p>
    <w:p w:rsidR="009E5224" w:rsidRDefault="00C509DC" w:rsidP="00C509DC">
      <w:pPr>
        <w:pStyle w:val="ListBullet"/>
        <w:spacing w:after="40"/>
        <w:ind w:left="0"/>
      </w:pPr>
      <w:r>
        <w:t>I</w:t>
      </w:r>
      <w:r w:rsidR="00000000">
        <w:t>f provisions go up, dividends usually go down.</w:t>
      </w:r>
    </w:p>
    <w:p w:rsidR="00C509DC" w:rsidRDefault="00C509DC">
      <w:pPr>
        <w:spacing w:after="80"/>
      </w:pPr>
    </w:p>
    <w:p w:rsidR="009E5224" w:rsidRDefault="00000000">
      <w:r>
        <w:rPr>
          <w:noProof/>
        </w:rPr>
        <w:drawing>
          <wp:inline distT="0" distB="0" distL="0" distR="0">
            <wp:extent cx="6217920" cy="28643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2_pl_waterfal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6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224" w:rsidRDefault="00000000">
      <w:pPr>
        <w:jc w:val="center"/>
      </w:pPr>
      <w:r>
        <w:rPr>
          <w:b/>
        </w:rPr>
        <w:t>Figure 2. Simplified P&amp;L waterfall</w:t>
      </w:r>
    </w:p>
    <w:p w:rsidR="009E5224" w:rsidRDefault="00000000">
      <w:pPr>
        <w:spacing w:after="80"/>
      </w:pPr>
      <w:r>
        <w:t>Lower provisions may make shareholders happy in the short run, but insufficient provisioning can hurt the bank later.</w:t>
      </w:r>
    </w:p>
    <w:p w:rsidR="00C509DC" w:rsidRDefault="00C509DC">
      <w:pPr>
        <w:spacing w:after="80"/>
      </w:pPr>
    </w:p>
    <w:p w:rsidR="00C509DC" w:rsidRDefault="00C509DC">
      <w:pPr>
        <w:spacing w:after="80"/>
      </w:pPr>
    </w:p>
    <w:p w:rsidR="00C509DC" w:rsidRDefault="00C509DC">
      <w:pPr>
        <w:spacing w:after="80"/>
      </w:pPr>
    </w:p>
    <w:p w:rsidR="00C509DC" w:rsidRDefault="00C509DC">
      <w:pPr>
        <w:spacing w:after="80"/>
      </w:pPr>
    </w:p>
    <w:p w:rsidR="009E5224" w:rsidRDefault="00000000">
      <w:pPr>
        <w:pStyle w:val="Heading1"/>
      </w:pPr>
      <w:r>
        <w:lastRenderedPageBreak/>
        <w:t>5. Why provisions are not enough: loss distribution idea</w:t>
      </w:r>
    </w:p>
    <w:p w:rsidR="00C509DC" w:rsidRDefault="00000000">
      <w:pPr>
        <w:spacing w:after="80"/>
      </w:pPr>
      <w:r>
        <w:t xml:space="preserve">A key diagram shows loss values on one side and frequency on the other. </w:t>
      </w:r>
    </w:p>
    <w:p w:rsidR="00C509DC" w:rsidRDefault="00000000">
      <w:pPr>
        <w:spacing w:after="80"/>
      </w:pPr>
      <w:r>
        <w:t xml:space="preserve">The idea is that expected losses happen more often but are usually smaller. </w:t>
      </w:r>
    </w:p>
    <w:p w:rsidR="009E5224" w:rsidRDefault="00000000">
      <w:pPr>
        <w:spacing w:after="80"/>
      </w:pPr>
      <w:r>
        <w:t>Unexpected losses happen less often but can be much larger.</w:t>
      </w:r>
    </w:p>
    <w:p w:rsidR="00C509DC" w:rsidRDefault="00C509DC">
      <w:pPr>
        <w:spacing w:after="80"/>
      </w:pPr>
    </w:p>
    <w:p w:rsidR="009E5224" w:rsidRDefault="00000000">
      <w:r>
        <w:rPr>
          <w:noProof/>
        </w:rPr>
        <w:drawing>
          <wp:inline distT="0" distB="0" distL="0" distR="0">
            <wp:extent cx="6217920" cy="31344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3_loss_distribu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3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224" w:rsidRDefault="00000000">
      <w:pPr>
        <w:jc w:val="center"/>
      </w:pPr>
      <w:r>
        <w:rPr>
          <w:b/>
        </w:rPr>
        <w:t>Figure 3. Loss distribution used to explain expected loss and unexpected loss</w:t>
      </w:r>
    </w:p>
    <w:p w:rsidR="009E5224" w:rsidRDefault="00C509DC">
      <w:pPr>
        <w:spacing w:after="80"/>
      </w:pPr>
      <w:r>
        <w:t>E</w:t>
      </w:r>
      <w:r w:rsidR="00000000">
        <w:t>xpected losses are usually covered by provisions. Unexpected losses are the reason banks need capital.</w:t>
      </w:r>
    </w:p>
    <w:p w:rsidR="009E5224" w:rsidRDefault="00C509DC">
      <w:pPr>
        <w:spacing w:after="80"/>
      </w:pPr>
      <w:r>
        <w:t>P</w:t>
      </w:r>
      <w:r w:rsidR="00000000">
        <w:t>rovisions are for expected loss, while capital is for unexpected loss.</w:t>
      </w:r>
    </w:p>
    <w:p w:rsidR="009E5224" w:rsidRDefault="00000000">
      <w:r>
        <w:rPr>
          <w:noProof/>
        </w:rPr>
        <w:drawing>
          <wp:inline distT="0" distB="0" distL="0" distR="0">
            <wp:extent cx="6217920" cy="25669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4_el_u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6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224" w:rsidRDefault="00000000">
      <w:pPr>
        <w:jc w:val="center"/>
      </w:pPr>
      <w:r>
        <w:rPr>
          <w:b/>
        </w:rPr>
        <w:t>Figure 4. Provisions vs capital</w:t>
      </w:r>
    </w:p>
    <w:p w:rsidR="009E5224" w:rsidRDefault="00000000">
      <w:pPr>
        <w:pStyle w:val="Heading1"/>
      </w:pPr>
      <w:r>
        <w:lastRenderedPageBreak/>
        <w:t xml:space="preserve">6. Capital levels </w:t>
      </w:r>
    </w:p>
    <w:p w:rsidR="004C4984" w:rsidRDefault="00000000">
      <w:pPr>
        <w:spacing w:after="80"/>
      </w:pPr>
      <w:r>
        <w:t xml:space="preserve">The tier 1, tier 2, and tier 3 capital. </w:t>
      </w:r>
    </w:p>
    <w:p w:rsidR="009E5224" w:rsidRDefault="00000000">
      <w:pPr>
        <w:spacing w:after="80"/>
      </w:pPr>
      <w:r>
        <w:t>The main practical point discussed is that unexpected losses are absorbed by tier 1 capital. Expected losses are linked to provisions and allowance for loans and losses, closer to tier 2 treatment.</w:t>
      </w:r>
    </w:p>
    <w:p w:rsidR="009E5224" w:rsidRDefault="00000000">
      <w:pPr>
        <w:pStyle w:val="ListBullet"/>
        <w:spacing w:after="40"/>
        <w:ind w:left="0"/>
      </w:pPr>
      <w:r>
        <w:t>Tier 1 capital: pure equity capital, used for unexpected losses.</w:t>
      </w:r>
    </w:p>
    <w:p w:rsidR="009E5224" w:rsidRDefault="00000000">
      <w:pPr>
        <w:pStyle w:val="ListBullet"/>
        <w:spacing w:after="40"/>
        <w:ind w:left="0"/>
      </w:pPr>
      <w:r>
        <w:t>Tier 2 capital: subordinate / estimated capital, linked to provisions and expected losses.</w:t>
      </w:r>
    </w:p>
    <w:p w:rsidR="009E5224" w:rsidRDefault="00000000">
      <w:pPr>
        <w:pStyle w:val="ListBullet"/>
        <w:spacing w:after="40"/>
        <w:ind w:left="0"/>
      </w:pPr>
      <w:r>
        <w:t>Tier 3 capital: mentioned, but not discussed in detail in the session.</w:t>
      </w:r>
    </w:p>
    <w:p w:rsidR="004317C5" w:rsidRDefault="00000000">
      <w:pPr>
        <w:spacing w:after="80"/>
      </w:pPr>
      <w:r>
        <w:t xml:space="preserve">The point that Basel / capital adequacy frameworks and IFRS 9 are not the same thing. </w:t>
      </w:r>
    </w:p>
    <w:p w:rsidR="009E5224" w:rsidRDefault="00000000">
      <w:pPr>
        <w:spacing w:after="80"/>
      </w:pPr>
      <w:r>
        <w:t>They solve different problems, even though both help protect the bank.</w:t>
      </w:r>
    </w:p>
    <w:p w:rsidR="009E5224" w:rsidRDefault="00000000">
      <w:pPr>
        <w:pStyle w:val="Heading1"/>
      </w:pPr>
      <w:r>
        <w:t>7. Personal loans: the first IFRS 9 asset example</w:t>
      </w:r>
    </w:p>
    <w:p w:rsidR="009E5224" w:rsidRDefault="00000000">
      <w:pPr>
        <w:spacing w:after="80"/>
      </w:pPr>
      <w:r>
        <w:t>Personal loans are described as fixed-term and unsecured. The bank lends a principal amount, charges interest, and recovers the loan through monthly installments.</w:t>
      </w:r>
    </w:p>
    <w:p w:rsidR="009E5224" w:rsidRDefault="00000000">
      <w:pPr>
        <w:pStyle w:val="ListBullet"/>
        <w:spacing w:after="40"/>
        <w:ind w:left="0"/>
      </w:pPr>
      <w:r>
        <w:t>The asset is intangible: you cannot physically hold the loan, but it creates future cash inflows for the bank.</w:t>
      </w:r>
    </w:p>
    <w:p w:rsidR="009E5224" w:rsidRDefault="00000000">
      <w:pPr>
        <w:pStyle w:val="ListBullet"/>
        <w:spacing w:after="40"/>
        <w:ind w:left="0"/>
      </w:pPr>
      <w:r>
        <w:t>The payment schedule is amortized over time.</w:t>
      </w:r>
    </w:p>
    <w:p w:rsidR="009E5224" w:rsidRDefault="00000000">
      <w:pPr>
        <w:pStyle w:val="ListBullet"/>
        <w:spacing w:after="40"/>
        <w:ind w:left="0"/>
      </w:pPr>
      <w:r>
        <w:t>The first EMIs usually contain more interest; later EMIs contain more principal.</w:t>
      </w:r>
    </w:p>
    <w:p w:rsidR="009E5224" w:rsidRDefault="00000000">
      <w:pPr>
        <w:spacing w:after="80"/>
      </w:pPr>
      <w:r>
        <w:t xml:space="preserve">Because the cash flows are contractual principal-plus-interest cash </w:t>
      </w:r>
      <w:proofErr w:type="gramStart"/>
      <w:r>
        <w:t>flows,  this</w:t>
      </w:r>
      <w:proofErr w:type="gramEnd"/>
      <w:r>
        <w:t xml:space="preserve"> type of loan passes the SPPI test and is measured at amortized cost.</w:t>
      </w:r>
    </w:p>
    <w:p w:rsidR="009E5224" w:rsidRDefault="00000000">
      <w:r>
        <w:rPr>
          <w:noProof/>
        </w:rPr>
        <w:drawing>
          <wp:inline distT="0" distB="0" distL="0" distR="0">
            <wp:extent cx="6217920" cy="27313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6_amortiz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3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224" w:rsidRDefault="00000000">
      <w:pPr>
        <w:jc w:val="center"/>
      </w:pPr>
      <w:r>
        <w:rPr>
          <w:b/>
        </w:rPr>
        <w:t>Figure 5. Amortization idea for a personal loan</w:t>
      </w:r>
    </w:p>
    <w:p w:rsidR="004C4984" w:rsidRDefault="00000000">
      <w:pPr>
        <w:spacing w:after="80"/>
      </w:pPr>
      <w:r>
        <w:t xml:space="preserve">The Excel example shows how the outstanding balance reduces after each monthly payment. </w:t>
      </w:r>
    </w:p>
    <w:p w:rsidR="009E5224" w:rsidRDefault="00000000">
      <w:pPr>
        <w:spacing w:after="80"/>
      </w:pPr>
      <w:r>
        <w:t>The loan is gradually written off the bank’s books as the borrower pays the installments.</w:t>
      </w:r>
    </w:p>
    <w:p w:rsidR="009E5224" w:rsidRDefault="00000000">
      <w:pPr>
        <w:pStyle w:val="Heading1"/>
      </w:pPr>
      <w:r>
        <w:t xml:space="preserve">8. EMI / amortization formula </w:t>
      </w:r>
    </w:p>
    <w:p w:rsidR="004C4984" w:rsidRDefault="00000000">
      <w:pPr>
        <w:spacing w:after="80"/>
      </w:pPr>
      <w:r>
        <w:t xml:space="preserve">The session uses the standard installment logic: principal, rate per period, and number of payments. </w:t>
      </w:r>
    </w:p>
    <w:p w:rsidR="009E5224" w:rsidRDefault="00000000">
      <w:pPr>
        <w:spacing w:after="80"/>
      </w:pPr>
      <w:r>
        <w:t>The monthly payment is derived from the loan amount, the periodic interest rate, and the total number of installments.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9E5224">
        <w:trPr>
          <w:jc w:val="center"/>
        </w:trPr>
        <w:tc>
          <w:tcPr>
            <w:tcW w:w="50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E5224" w:rsidRDefault="00000000">
            <w:r>
              <w:rPr>
                <w:b/>
              </w:rPr>
              <w:lastRenderedPageBreak/>
              <w:t>Symbol</w:t>
            </w:r>
          </w:p>
        </w:tc>
        <w:tc>
          <w:tcPr>
            <w:tcW w:w="50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E5224" w:rsidRDefault="00000000">
            <w:r>
              <w:rPr>
                <w:b/>
              </w:rPr>
              <w:t>Meaning</w:t>
            </w:r>
          </w:p>
        </w:tc>
      </w:tr>
      <w:tr w:rsidR="009E5224">
        <w:trPr>
          <w:jc w:val="center"/>
        </w:trPr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E5224" w:rsidRDefault="009E5224"/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E5224" w:rsidRDefault="009E5224"/>
        </w:tc>
      </w:tr>
      <w:tr w:rsidR="009E5224">
        <w:trPr>
          <w:jc w:val="center"/>
        </w:trPr>
        <w:tc>
          <w:tcPr>
            <w:tcW w:w="5040" w:type="dxa"/>
            <w:shd w:val="clear" w:color="auto" w:fill="F8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E5224" w:rsidRDefault="00000000">
            <w:r>
              <w:t>P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E5224" w:rsidRDefault="00000000">
            <w:r>
              <w:t>Principal / loan amount</w:t>
            </w:r>
          </w:p>
        </w:tc>
      </w:tr>
      <w:tr w:rsidR="009E5224">
        <w:trPr>
          <w:jc w:val="center"/>
        </w:trPr>
        <w:tc>
          <w:tcPr>
            <w:tcW w:w="5040" w:type="dxa"/>
            <w:shd w:val="clear" w:color="auto" w:fill="F8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E5224" w:rsidRDefault="00000000">
            <w:r>
              <w:t>r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E5224" w:rsidRDefault="00000000">
            <w:r>
              <w:t>Interest rate per period</w:t>
            </w:r>
          </w:p>
        </w:tc>
      </w:tr>
      <w:tr w:rsidR="009E5224">
        <w:trPr>
          <w:jc w:val="center"/>
        </w:trPr>
        <w:tc>
          <w:tcPr>
            <w:tcW w:w="5040" w:type="dxa"/>
            <w:shd w:val="clear" w:color="auto" w:fill="F8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E5224" w:rsidRDefault="00000000">
            <w:r>
              <w:t>n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E5224" w:rsidRDefault="00000000">
            <w:r>
              <w:t>Number of payments</w:t>
            </w:r>
          </w:p>
        </w:tc>
      </w:tr>
      <w:tr w:rsidR="009E5224">
        <w:trPr>
          <w:jc w:val="center"/>
        </w:trPr>
        <w:tc>
          <w:tcPr>
            <w:tcW w:w="5040" w:type="dxa"/>
            <w:shd w:val="clear" w:color="auto" w:fill="F8F9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E5224" w:rsidRDefault="00000000">
            <w:r>
              <w:t>EMI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E5224" w:rsidRDefault="00000000">
            <w:r>
              <w:t>Monthly installment amount</w:t>
            </w:r>
          </w:p>
        </w:tc>
      </w:tr>
    </w:tbl>
    <w:p w:rsidR="009E5224" w:rsidRDefault="00000000">
      <w:pPr>
        <w:spacing w:after="80"/>
      </w:pPr>
      <w:r>
        <w:t>The exact formula is less important than the idea behind it: each payment slowly reduces principal, while interest is charged on the outstanding balance.</w:t>
      </w:r>
    </w:p>
    <w:p w:rsidR="009E5224" w:rsidRDefault="00000000">
      <w:pPr>
        <w:pStyle w:val="Heading1"/>
      </w:pPr>
      <w:r>
        <w:t>9. IFRS 9 expected credit loss and staging</w:t>
      </w:r>
    </w:p>
    <w:p w:rsidR="009E5224" w:rsidRDefault="00000000">
      <w:pPr>
        <w:spacing w:after="80"/>
      </w:pPr>
      <w:r>
        <w:t>IFRS 9 introduces two ECL horizons: 12-month ECL and lifetime ECL.</w:t>
      </w:r>
    </w:p>
    <w:p w:rsidR="009E5224" w:rsidRDefault="00000000">
      <w:pPr>
        <w:pStyle w:val="ListBullet"/>
        <w:spacing w:after="40"/>
        <w:ind w:left="0"/>
      </w:pPr>
      <w:r>
        <w:t>12-month ECL: used for accounts that are still performing and have not shown a major deterioration.</w:t>
      </w:r>
    </w:p>
    <w:p w:rsidR="009E5224" w:rsidRDefault="00000000">
      <w:pPr>
        <w:pStyle w:val="ListBullet"/>
        <w:spacing w:after="40"/>
        <w:ind w:left="0"/>
      </w:pPr>
      <w:r>
        <w:t>Lifetime ECL: used when the account has undergone significant increase in credit risk or has already defaulted / become impaired.</w:t>
      </w:r>
    </w:p>
    <w:p w:rsidR="009E5224" w:rsidRDefault="00A02E97">
      <w:pPr>
        <w:spacing w:after="80"/>
      </w:pPr>
      <w:r>
        <w:t>E</w:t>
      </w:r>
      <w:r w:rsidR="00000000">
        <w:t>xplains this through staging analysis:</w:t>
      </w:r>
    </w:p>
    <w:p w:rsidR="009E5224" w:rsidRDefault="00000000">
      <w:r>
        <w:rPr>
          <w:noProof/>
        </w:rPr>
        <w:drawing>
          <wp:inline distT="0" distB="0" distL="0" distR="0">
            <wp:extent cx="6217920" cy="25669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5_stag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6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224" w:rsidRDefault="00000000">
      <w:pPr>
        <w:jc w:val="center"/>
      </w:pPr>
      <w:r>
        <w:rPr>
          <w:b/>
        </w:rPr>
        <w:t xml:space="preserve">Figure 6. IFRS 9 staging logic </w:t>
      </w:r>
    </w:p>
    <w:p w:rsidR="009E5224" w:rsidRDefault="00000000">
      <w:pPr>
        <w:pStyle w:val="ListBullet"/>
        <w:spacing w:after="40"/>
        <w:ind w:left="0"/>
      </w:pPr>
      <w:r>
        <w:t>Stage 1: non-delinquent accounts.</w:t>
      </w:r>
    </w:p>
    <w:p w:rsidR="009E5224" w:rsidRDefault="00000000">
      <w:pPr>
        <w:pStyle w:val="ListBullet"/>
        <w:spacing w:after="40"/>
        <w:ind w:left="0"/>
      </w:pPr>
      <w:r>
        <w:t>Stage 2: accounts with significant increase in credit risk, but not yet defaulted.</w:t>
      </w:r>
    </w:p>
    <w:p w:rsidR="009E5224" w:rsidRDefault="00000000">
      <w:pPr>
        <w:pStyle w:val="ListBullet"/>
        <w:spacing w:after="40"/>
        <w:ind w:left="0"/>
      </w:pPr>
      <w:r>
        <w:t>Stage 3: defaulted / impaired accounts.</w:t>
      </w:r>
    </w:p>
    <w:p w:rsidR="009E5224" w:rsidRDefault="00000000">
      <w:pPr>
        <w:spacing w:after="80"/>
      </w:pPr>
      <w:r>
        <w:t>A practical point is that staging is about the borrower’s repayment capacity, not just the current market value of the collateral.</w:t>
      </w:r>
    </w:p>
    <w:p w:rsidR="004317C5" w:rsidRDefault="004D6D45">
      <w:pPr>
        <w:spacing w:after="80"/>
      </w:pPr>
      <w:r>
        <w:t>M</w:t>
      </w:r>
      <w:r w:rsidR="00000000">
        <w:t xml:space="preserve">acroeconomic variables matter because IFRS 9 is forward-looking. </w:t>
      </w:r>
    </w:p>
    <w:p w:rsidR="009E5224" w:rsidRDefault="00000000">
      <w:pPr>
        <w:spacing w:after="80"/>
      </w:pPr>
      <w:r>
        <w:t>The exact variables depend on the portfolio.</w:t>
      </w:r>
    </w:p>
    <w:sectPr w:rsidR="009E522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0843927">
    <w:abstractNumId w:val="8"/>
  </w:num>
  <w:num w:numId="2" w16cid:durableId="448428127">
    <w:abstractNumId w:val="6"/>
  </w:num>
  <w:num w:numId="3" w16cid:durableId="146480918">
    <w:abstractNumId w:val="5"/>
  </w:num>
  <w:num w:numId="4" w16cid:durableId="1541671788">
    <w:abstractNumId w:val="4"/>
  </w:num>
  <w:num w:numId="5" w16cid:durableId="1243762605">
    <w:abstractNumId w:val="7"/>
  </w:num>
  <w:num w:numId="6" w16cid:durableId="2092434291">
    <w:abstractNumId w:val="3"/>
  </w:num>
  <w:num w:numId="7" w16cid:durableId="147984235">
    <w:abstractNumId w:val="2"/>
  </w:num>
  <w:num w:numId="8" w16cid:durableId="2138331378">
    <w:abstractNumId w:val="1"/>
  </w:num>
  <w:num w:numId="9" w16cid:durableId="737560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3C80"/>
    <w:rsid w:val="00326F90"/>
    <w:rsid w:val="004317C5"/>
    <w:rsid w:val="004C4984"/>
    <w:rsid w:val="004D6D45"/>
    <w:rsid w:val="009E5224"/>
    <w:rsid w:val="00A02E97"/>
    <w:rsid w:val="00AA1D8D"/>
    <w:rsid w:val="00B47730"/>
    <w:rsid w:val="00C509DC"/>
    <w:rsid w:val="00CB0664"/>
    <w:rsid w:val="00DC249B"/>
    <w:rsid w:val="00E665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325C1D"/>
  <w14:defaultImageDpi w14:val="300"/>
  <w15:docId w15:val="{09F4E187-FAE3-C941-B6B0-EC8A038F8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839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 Tiwari</cp:lastModifiedBy>
  <cp:revision>5</cp:revision>
  <dcterms:created xsi:type="dcterms:W3CDTF">2026-04-07T07:33:00Z</dcterms:created>
  <dcterms:modified xsi:type="dcterms:W3CDTF">2026-04-07T08:23:00Z</dcterms:modified>
  <cp:category/>
</cp:coreProperties>
</file>