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F259F"/>
          <w:sz w:val="44"/>
          <w:szCs w:val="44"/>
        </w:rPr>
        <w:t xml:space="preserve">Phone Pay Transaction Analysis</w:t>
      </w:r>
    </w:p>
    <w:p>
      <w:pPr>
        <w:spacing w:after="40"/>
      </w:pPr>
      <w:r>
        <w:rPr>
          <w:rFonts w:ascii="Calibri" w:cs="Calibri" w:eastAsia="Calibri" w:hAnsi="Calibri"/>
          <w:color w:val="595959"/>
          <w:sz w:val="22"/>
          <w:szCs w:val="22"/>
        </w:rPr>
        <w:t xml:space="preserve">Period: 2024 – 2026</w:t>
      </w:r>
    </w:p>
    <w:p>
      <w:pPr>
        <w:spacing w:after="300"/>
      </w:pPr>
      <w:r>
        <w:rPr>
          <w:rFonts w:ascii="Calibri" w:cs="Calibri" w:eastAsia="Calibri" w:hAnsi="Calibri"/>
          <w:i/>
          <w:iCs/>
          <w:color w:val="595959"/>
          <w:sz w:val="20"/>
          <w:szCs w:val="20"/>
        </w:rPr>
        <w:t xml:space="preserve">Prepared by: Aman Kumar Sri Mali  |  Data Analyst  |  Report date: 3 October 2026</w:t>
      </w:r>
    </w:p>
    <w:p>
      <w:pPr>
        <w:pStyle w:val="Heading1"/>
        <w:pBdr>
          <w:bottom w:val="single" w:color="7B2FD1" w:sz="6" w:space="4"/>
        </w:pBdr>
        <w:spacing w:after="160" w:before="320"/>
      </w:pPr>
      <w:r>
        <w:rPr>
          <w:rFonts w:ascii="Calibri" w:cs="Calibri" w:eastAsia="Calibri" w:hAnsi="Calibri"/>
          <w:b/>
          <w:bCs/>
          <w:color w:val="5F259F"/>
          <w:sz w:val="30"/>
          <w:szCs w:val="30"/>
        </w:rPr>
        <w:t xml:space="preserve">Executive Summary</w:t>
      </w:r>
    </w:p>
    <w:p>
      <w:pPr>
        <w:spacing w:after="160" w:line="276"/>
      </w:pPr>
      <w:r>
        <w:rPr>
          <w:rFonts w:ascii="Calibri" w:cs="Calibri" w:eastAsia="Calibri" w:hAnsi="Calibri"/>
          <w:color w:val="1A1A1A"/>
          <w:sz w:val="22"/>
          <w:szCs w:val="22"/>
        </w:rPr>
        <w:t xml:space="preserve">Between 2024 and 2026, the account recorded 2,083 total transactions, with total debit outflow of ₹3,04,730 against total credit inflow of ₹6,568. Spending activity is heavily skewed toward debits, which make up 97.89% of transaction value, indicating the account is used predominantly for outgoing payments rather than receiving funds.</w:t>
      </w:r>
    </w:p>
    <w:p>
      <w:pPr>
        <w:spacing w:after="160" w:line="276"/>
      </w:pPr>
      <w:r>
        <w:rPr>
          <w:rFonts w:ascii="Calibri" w:cs="Calibri" w:eastAsia="Calibri" w:hAnsi="Calibri"/>
          <w:color w:val="1A1A1A"/>
          <w:sz w:val="22"/>
          <w:szCs w:val="22"/>
        </w:rPr>
        <w:t xml:space="preserve">Transaction volume peaked sharply in August, reaching ₹1,06,434 — more than three times the monthly average — which stands out as the single most significant spike in the dataset and warrants closer review. Spending is also concentrated toward the end of the working week, with Friday and Sunday together accounting for the largest share of weekday payment activity.</w:t>
      </w:r>
    </w:p>
    <w:p>
      <w:pPr>
        <w:pStyle w:val="Heading1"/>
        <w:pBdr>
          <w:bottom w:val="single" w:color="7B2FD1" w:sz="6" w:space="4"/>
        </w:pBdr>
        <w:spacing w:after="160" w:before="320"/>
      </w:pPr>
      <w:r>
        <w:rPr>
          <w:rFonts w:ascii="Calibri" w:cs="Calibri" w:eastAsia="Calibri" w:hAnsi="Calibri"/>
          <w:b/>
          <w:bCs/>
          <w:color w:val="5F259F"/>
          <w:sz w:val="30"/>
          <w:szCs w:val="30"/>
        </w:rPr>
        <w:t xml:space="preserve">Key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shd w:fill="EDE3FA" w:color="auto" w:val="clear"/>
            <w:tcMar>
              <w:top w:type="dxa" w:w="160"/>
              <w:left w:type="dxa" w:w="160"/>
              <w:bottom w:type="dxa" w:w="160"/>
              <w:right w:type="dxa" w:w="160"/>
            </w:tcMar>
          </w:tcPr>
          <w:p>
            <w:pPr>
              <w:spacing w:after="60"/>
              <w:jc w:val="center"/>
            </w:pPr>
            <w:r>
              <w:rPr>
                <w:rFonts w:ascii="Calibri" w:cs="Calibri" w:eastAsia="Calibri" w:hAnsi="Calibri"/>
                <w:color w:val="595959"/>
                <w:sz w:val="18"/>
                <w:szCs w:val="18"/>
              </w:rPr>
              <w:t xml:space="preserve">TOTAL TRANSACTIONS</w:t>
            </w:r>
          </w:p>
          <w:p>
            <w:pPr>
              <w:jc w:val="center"/>
            </w:pPr>
            <w:r>
              <w:rPr>
                <w:rFonts w:ascii="Calibri" w:cs="Calibri" w:eastAsia="Calibri" w:hAnsi="Calibri"/>
                <w:b/>
                <w:bCs/>
                <w:color w:val="5F259F"/>
                <w:sz w:val="30"/>
                <w:szCs w:val="30"/>
              </w:rPr>
              <w:t xml:space="preserve">2,083</w:t>
            </w:r>
          </w:p>
        </w:tc>
        <w:tc>
          <w:tcPr>
            <w:tcW w:type="dxa" w:w="3100"/>
            <w:shd w:fill="EDE3FA" w:color="auto" w:val="clear"/>
            <w:tcMar>
              <w:top w:type="dxa" w:w="160"/>
              <w:left w:type="dxa" w:w="160"/>
              <w:bottom w:type="dxa" w:w="160"/>
              <w:right w:type="dxa" w:w="160"/>
            </w:tcMar>
          </w:tcPr>
          <w:p>
            <w:pPr>
              <w:spacing w:after="60"/>
              <w:jc w:val="center"/>
            </w:pPr>
            <w:r>
              <w:rPr>
                <w:rFonts w:ascii="Calibri" w:cs="Calibri" w:eastAsia="Calibri" w:hAnsi="Calibri"/>
                <w:color w:val="595959"/>
                <w:sz w:val="18"/>
                <w:szCs w:val="18"/>
              </w:rPr>
              <w:t xml:space="preserve">TOTAL CREDIT (₹)</w:t>
            </w:r>
          </w:p>
          <w:p>
            <w:pPr>
              <w:jc w:val="center"/>
            </w:pPr>
            <w:r>
              <w:rPr>
                <w:rFonts w:ascii="Calibri" w:cs="Calibri" w:eastAsia="Calibri" w:hAnsi="Calibri"/>
                <w:b/>
                <w:bCs/>
                <w:color w:val="5F259F"/>
                <w:sz w:val="30"/>
                <w:szCs w:val="30"/>
              </w:rPr>
              <w:t xml:space="preserve">6,568</w:t>
            </w:r>
          </w:p>
        </w:tc>
        <w:tc>
          <w:tcPr>
            <w:tcW w:type="dxa" w:w="3100"/>
            <w:shd w:fill="EDE3FA" w:color="auto" w:val="clear"/>
            <w:tcMar>
              <w:top w:type="dxa" w:w="160"/>
              <w:left w:type="dxa" w:w="160"/>
              <w:bottom w:type="dxa" w:w="160"/>
              <w:right w:type="dxa" w:w="160"/>
            </w:tcMar>
          </w:tcPr>
          <w:p>
            <w:pPr>
              <w:spacing w:after="60"/>
              <w:jc w:val="center"/>
            </w:pPr>
            <w:r>
              <w:rPr>
                <w:rFonts w:ascii="Calibri" w:cs="Calibri" w:eastAsia="Calibri" w:hAnsi="Calibri"/>
                <w:color w:val="595959"/>
                <w:sz w:val="18"/>
                <w:szCs w:val="18"/>
              </w:rPr>
              <w:t xml:space="preserve">TOTAL DEBIT (₹)</w:t>
            </w:r>
          </w:p>
          <w:p>
            <w:pPr>
              <w:jc w:val="center"/>
            </w:pPr>
            <w:r>
              <w:rPr>
                <w:rFonts w:ascii="Calibri" w:cs="Calibri" w:eastAsia="Calibri" w:hAnsi="Calibri"/>
                <w:b/>
                <w:bCs/>
                <w:color w:val="5F259F"/>
                <w:sz w:val="30"/>
                <w:szCs w:val="30"/>
              </w:rPr>
              <w:t xml:space="preserve">3,04,730</w:t>
            </w:r>
          </w:p>
        </w:tc>
      </w:tr>
    </w:tbl>
    <w:p>
      <w:pPr>
        <w:spacing w:after="200"/>
      </w:pPr>
    </w:p>
    <w:p>
      <w:pPr>
        <w:pStyle w:val="Heading1"/>
        <w:pBdr>
          <w:bottom w:val="single" w:color="7B2FD1" w:sz="6" w:space="4"/>
        </w:pBdr>
        <w:spacing w:after="160" w:before="320"/>
      </w:pPr>
      <w:r>
        <w:rPr>
          <w:rFonts w:ascii="Calibri" w:cs="Calibri" w:eastAsia="Calibri" w:hAnsi="Calibri"/>
          <w:b/>
          <w:bCs/>
          <w:color w:val="5F259F"/>
          <w:sz w:val="30"/>
          <w:szCs w:val="30"/>
        </w:rPr>
        <w:t xml:space="preserve">Monthly Transaction Trend</w:t>
      </w:r>
    </w:p>
    <w:p>
      <w:pPr>
        <w:spacing w:after="160" w:line="276"/>
      </w:pPr>
      <w:r>
        <w:rPr>
          <w:rFonts w:ascii="Calibri" w:cs="Calibri" w:eastAsia="Calibri" w:hAnsi="Calibri"/>
          <w:color w:val="1A1A1A"/>
          <w:sz w:val="22"/>
          <w:szCs w:val="22"/>
        </w:rPr>
        <w:t xml:space="preserve">Monthly outflow remained in the ₹8,000–₹31,000 range for most of the year, with a pronounced outlier in August.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300"/>
        <w:gridCol w:w="4000"/>
      </w:tblGrid>
      <w:tr>
        <w:trPr>
          <w:tblHeader/>
        </w:trPr>
        <w:tc>
          <w:tcPr>
            <w:tcW w:type="dxa" w:w="5300"/>
            <w:shd w:fill="5F259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Month</w:t>
            </w:r>
          </w:p>
        </w:tc>
        <w:tc>
          <w:tcPr>
            <w:tcW w:type="dxa" w:w="4000"/>
            <w:shd w:fill="5F259F" w:color="auto" w:val="clear"/>
            <w:tcMar>
              <w:top w:type="dxa" w:w="100"/>
              <w:left w:type="dxa" w:w="120"/>
              <w:bottom w:type="dxa" w:w="100"/>
              <w:right w:type="dxa" w:w="120"/>
            </w:tcMar>
          </w:tcPr>
          <w:p>
            <w:pPr>
              <w:jc w:val="right"/>
            </w:pPr>
            <w:r>
              <w:rPr>
                <w:rFonts w:ascii="Calibri" w:cs="Calibri" w:eastAsia="Calibri" w:hAnsi="Calibri"/>
                <w:b/>
                <w:bCs/>
                <w:color w:val="FFFFFF"/>
                <w:sz w:val="20"/>
                <w:szCs w:val="20"/>
              </w:rPr>
              <w:t xml:space="preserve">Amount (₹)</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January</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16,451</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February</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18,430</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March</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8,044</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April</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27,243</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May</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13,034</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June</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18,869</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July</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11,955</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August</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1,06,434</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September</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23,128</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October</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31,203</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November</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8,264</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December</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28,243</w:t>
            </w:r>
          </w:p>
        </w:tc>
      </w:tr>
    </w:tbl>
    <w:p>
      <w:r>
        <w:br/>
        <w:t xml:space="preserve"/>
      </w:r>
    </w:p>
    <w:p>
      <w:pPr>
        <w:pStyle w:val="Heading2"/>
        <w:spacing w:after="120" w:before="240"/>
      </w:pPr>
      <w:r>
        <w:rPr>
          <w:rFonts w:ascii="Calibri" w:cs="Calibri" w:eastAsia="Calibri" w:hAnsi="Calibri"/>
          <w:b/>
          <w:bCs/>
          <w:color w:val="5F259F"/>
          <w:sz w:val="24"/>
          <w:szCs w:val="24"/>
        </w:rPr>
        <w:t xml:space="preserve">Observations</w:t>
      </w:r>
    </w:p>
    <w:p>
      <w:pPr>
        <w:pStyle w:val="ListParagraph"/>
        <w:numPr>
          <w:ilvl w:val="0"/>
          <w:numId w:val="1"/>
        </w:numPr>
        <w:spacing w:after="90"/>
      </w:pPr>
      <w:r>
        <w:rPr>
          <w:rFonts w:ascii="Calibri" w:cs="Calibri" w:eastAsia="Calibri" w:hAnsi="Calibri"/>
          <w:color w:val="1A1A1A"/>
          <w:sz w:val="22"/>
          <w:szCs w:val="22"/>
        </w:rPr>
        <w:t xml:space="preserve">August recorded ₹1,06,434 — the highest monthly figure by a wide margin, roughly 3.4× the average of the other eleven months.</w:t>
      </w:r>
    </w:p>
    <w:p>
      <w:pPr>
        <w:pStyle w:val="ListParagraph"/>
        <w:numPr>
          <w:ilvl w:val="0"/>
          <w:numId w:val="1"/>
        </w:numPr>
        <w:spacing w:after="90"/>
      </w:pPr>
      <w:r>
        <w:rPr>
          <w:rFonts w:ascii="Calibri" w:cs="Calibri" w:eastAsia="Calibri" w:hAnsi="Calibri"/>
          <w:color w:val="1A1A1A"/>
          <w:sz w:val="22"/>
          <w:szCs w:val="22"/>
        </w:rPr>
        <w:t xml:space="preserve">March, November, and July were the lowest-activity months, each under ₹12,000.</w:t>
      </w:r>
    </w:p>
    <w:p>
      <w:pPr>
        <w:pStyle w:val="ListParagraph"/>
        <w:numPr>
          <w:ilvl w:val="0"/>
          <w:numId w:val="1"/>
        </w:numPr>
        <w:spacing w:after="90"/>
      </w:pPr>
      <w:r>
        <w:rPr>
          <w:rFonts w:ascii="Calibri" w:cs="Calibri" w:eastAsia="Calibri" w:hAnsi="Calibri"/>
          <w:color w:val="1A1A1A"/>
          <w:sz w:val="22"/>
          <w:szCs w:val="22"/>
        </w:rPr>
        <w:t xml:space="preserve">No consistent seasonal upward or downward trend is visible outside the August spike; month-to-month movement is otherwise irregular.</w:t>
      </w:r>
    </w:p>
    <w:p>
      <w:pPr>
        <w:pStyle w:val="Heading1"/>
        <w:pBdr>
          <w:bottom w:val="single" w:color="7B2FD1" w:sz="6" w:space="4"/>
        </w:pBdr>
        <w:spacing w:after="160" w:before="320"/>
      </w:pPr>
      <w:r>
        <w:rPr>
          <w:rFonts w:ascii="Calibri" w:cs="Calibri" w:eastAsia="Calibri" w:hAnsi="Calibri"/>
          <w:b/>
          <w:bCs/>
          <w:color w:val="5F259F"/>
          <w:sz w:val="30"/>
          <w:szCs w:val="30"/>
        </w:rPr>
        <w:t xml:space="preserve">Transaction Type Breakdown</w:t>
      </w:r>
    </w:p>
    <w:p>
      <w:pPr>
        <w:spacing w:after="160" w:line="276"/>
      </w:pPr>
      <w:r>
        <w:rPr>
          <w:rFonts w:ascii="Calibri" w:cs="Calibri" w:eastAsia="Calibri" w:hAnsi="Calibri"/>
          <w:color w:val="1A1A1A"/>
          <w:sz w:val="22"/>
          <w:szCs w:val="22"/>
        </w:rPr>
        <w:t xml:space="preserve">Debit transactions account for ₹3,04,730 (97.89%) of total value, while credit transactions total ₹6,568 (2.11%). This confirms the account is used mainly for payments rather than as a collection point for incoming funds.</w:t>
      </w:r>
    </w:p>
    <w:p>
      <w:pPr>
        <w:pStyle w:val="Heading1"/>
        <w:pBdr>
          <w:bottom w:val="single" w:color="7B2FD1" w:sz="6" w:space="4"/>
        </w:pBdr>
        <w:spacing w:after="160" w:before="320"/>
      </w:pPr>
      <w:r>
        <w:rPr>
          <w:rFonts w:ascii="Calibri" w:cs="Calibri" w:eastAsia="Calibri" w:hAnsi="Calibri"/>
          <w:b/>
          <w:bCs/>
          <w:color w:val="5F259F"/>
          <w:sz w:val="30"/>
          <w:szCs w:val="30"/>
        </w:rPr>
        <w:t xml:space="preserve">Weekday Payment Pattern</w:t>
      </w:r>
    </w:p>
    <w:p>
      <w:pPr>
        <w:spacing w:after="160" w:line="276"/>
      </w:pPr>
      <w:r>
        <w:rPr>
          <w:rFonts w:ascii="Calibri" w:cs="Calibri" w:eastAsia="Calibri" w:hAnsi="Calibri"/>
          <w:color w:val="1A1A1A"/>
          <w:sz w:val="22"/>
          <w:szCs w:val="22"/>
        </w:rPr>
        <w:t xml:space="preserve">Payment activity is highest on Friday and lowest on Wednesday, suggesting a routine tied to end-of-week or weekend-adjacent spending.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300"/>
        <w:gridCol w:w="4000"/>
      </w:tblGrid>
      <w:tr>
        <w:trPr>
          <w:tblHeader/>
        </w:trPr>
        <w:tc>
          <w:tcPr>
            <w:tcW w:type="dxa" w:w="5300"/>
            <w:shd w:fill="5F259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Weekday</w:t>
            </w:r>
          </w:p>
        </w:tc>
        <w:tc>
          <w:tcPr>
            <w:tcW w:type="dxa" w:w="4000"/>
            <w:shd w:fill="5F259F" w:color="auto" w:val="clear"/>
            <w:tcMar>
              <w:top w:type="dxa" w:w="100"/>
              <w:left w:type="dxa" w:w="120"/>
              <w:bottom w:type="dxa" w:w="100"/>
              <w:right w:type="dxa" w:w="120"/>
            </w:tcMar>
          </w:tcPr>
          <w:p>
            <w:pPr>
              <w:jc w:val="right"/>
            </w:pPr>
            <w:r>
              <w:rPr>
                <w:rFonts w:ascii="Calibri" w:cs="Calibri" w:eastAsia="Calibri" w:hAnsi="Calibri"/>
                <w:b/>
                <w:bCs/>
                <w:color w:val="FFFFFF"/>
                <w:sz w:val="20"/>
                <w:szCs w:val="20"/>
              </w:rPr>
              <w:t xml:space="preserve">Amount (₹)</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Friday</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87,783</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Sunday</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73,558</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Tuesday</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43,447</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Monday</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36,852</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Thursday</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26,497</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Saturday</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23,633</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Wednesday</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19,528</w:t>
            </w:r>
          </w:p>
        </w:tc>
      </w:tr>
    </w:tbl>
    <w:p>
      <w:r>
        <w:br/>
        <w:t xml:space="preserve"/>
      </w:r>
    </w:p>
    <w:p>
      <w:pPr>
        <w:pStyle w:val="Heading1"/>
        <w:pBdr>
          <w:bottom w:val="single" w:color="7B2FD1" w:sz="6" w:space="4"/>
        </w:pBdr>
        <w:spacing w:after="160" w:before="320"/>
      </w:pPr>
      <w:r>
        <w:rPr>
          <w:rFonts w:ascii="Calibri" w:cs="Calibri" w:eastAsia="Calibri" w:hAnsi="Calibri"/>
          <w:b/>
          <w:bCs/>
          <w:color w:val="5F259F"/>
          <w:sz w:val="30"/>
          <w:szCs w:val="30"/>
        </w:rPr>
        <w:t xml:space="preserve">Top 5 Payment Recipients</w:t>
      </w:r>
    </w:p>
    <w:p>
      <w:pPr>
        <w:spacing w:after="160" w:line="276"/>
      </w:pPr>
      <w:r>
        <w:rPr>
          <w:rFonts w:ascii="Calibri" w:cs="Calibri" w:eastAsia="Calibri" w:hAnsi="Calibri"/>
          <w:color w:val="1A1A1A"/>
          <w:sz w:val="22"/>
          <w:szCs w:val="22"/>
        </w:rPr>
        <w:t xml:space="preserve">A single recipient, Shiv Asare, accounts for ₹1,87,501 — over 60% of total debit value — making this by far the largest and most concentrated payment relationship in the dataset.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300"/>
        <w:gridCol w:w="4000"/>
      </w:tblGrid>
      <w:tr>
        <w:trPr>
          <w:tblHeader/>
        </w:trPr>
        <w:tc>
          <w:tcPr>
            <w:tcW w:type="dxa" w:w="5300"/>
            <w:shd w:fill="5F259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Recipient</w:t>
            </w:r>
          </w:p>
        </w:tc>
        <w:tc>
          <w:tcPr>
            <w:tcW w:type="dxa" w:w="4000"/>
            <w:shd w:fill="5F259F" w:color="auto" w:val="clear"/>
            <w:tcMar>
              <w:top w:type="dxa" w:w="100"/>
              <w:left w:type="dxa" w:w="120"/>
              <w:bottom w:type="dxa" w:w="100"/>
              <w:right w:type="dxa" w:w="120"/>
            </w:tcMar>
          </w:tcPr>
          <w:p>
            <w:pPr>
              <w:jc w:val="right"/>
            </w:pPr>
            <w:r>
              <w:rPr>
                <w:rFonts w:ascii="Calibri" w:cs="Calibri" w:eastAsia="Calibri" w:hAnsi="Calibri"/>
                <w:b/>
                <w:bCs/>
                <w:color w:val="FFFFFF"/>
                <w:sz w:val="20"/>
                <w:szCs w:val="20"/>
              </w:rPr>
              <w:t xml:space="preserve">Amount (₹)</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Shiv Asare</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1,87,501</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MyJio</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8,347</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Indian Clearing Corporation</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8,000</w:t>
            </w:r>
          </w:p>
        </w:tc>
      </w:tr>
      <w:tr>
        <w:tc>
          <w:tcPr>
            <w:tcW w:type="dxa" w:w="5300"/>
            <w:shd w:fill="F7F2FC"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M R Hariom Rawat</w:t>
            </w:r>
          </w:p>
        </w:tc>
        <w:tc>
          <w:tcPr>
            <w:tcW w:type="dxa" w:w="4000"/>
            <w:shd w:fill="F7F2FC"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6,500</w:t>
            </w:r>
          </w:p>
        </w:tc>
      </w:tr>
      <w:tr>
        <w:tc>
          <w:tcPr>
            <w:tcW w:type="dxa" w:w="5300"/>
            <w:shd w:fill="FFFFFF" w:color="auto" w:val="clear"/>
            <w:tcMar>
              <w:top w:type="dxa" w:w="90"/>
              <w:left w:type="dxa" w:w="120"/>
              <w:bottom w:type="dxa" w:w="90"/>
              <w:right w:type="dxa" w:w="120"/>
            </w:tcMar>
          </w:tcPr>
          <w:p>
            <w:pPr>
              <w:jc w:val="left"/>
            </w:pPr>
            <w:r>
              <w:rPr>
                <w:rFonts w:ascii="Calibri" w:cs="Calibri" w:eastAsia="Calibri" w:hAnsi="Calibri"/>
                <w:color w:val="1A1A1A"/>
                <w:sz w:val="20"/>
                <w:szCs w:val="20"/>
              </w:rPr>
              <w:t xml:space="preserve">ICCL - Groww</w:t>
            </w:r>
          </w:p>
        </w:tc>
        <w:tc>
          <w:tcPr>
            <w:tcW w:type="dxa" w:w="4000"/>
            <w:shd w:fill="FFFFFF" w:color="auto" w:val="clear"/>
            <w:tcMar>
              <w:top w:type="dxa" w:w="90"/>
              <w:left w:type="dxa" w:w="120"/>
              <w:bottom w:type="dxa" w:w="90"/>
              <w:right w:type="dxa" w:w="120"/>
            </w:tcMar>
          </w:tcPr>
          <w:p>
            <w:pPr>
              <w:jc w:val="right"/>
            </w:pPr>
            <w:r>
              <w:rPr>
                <w:rFonts w:ascii="Calibri" w:cs="Calibri" w:eastAsia="Calibri" w:hAnsi="Calibri"/>
                <w:color w:val="1A1A1A"/>
                <w:sz w:val="20"/>
                <w:szCs w:val="20"/>
              </w:rPr>
              <w:t xml:space="preserve">6,000</w:t>
            </w:r>
          </w:p>
        </w:tc>
      </w:tr>
    </w:tbl>
    <w:p>
      <w:pPr>
        <w:pBdr>
          <w:left w:val="single" w:color="7B2FD1" w:sz="18" w:space="8"/>
        </w:pBdr>
        <w:shd w:fill="EDE3FA" w:color="auto" w:val="clear"/>
        <w:spacing w:after="160" w:before="140"/>
      </w:pPr>
      <w:r>
        <w:rPr>
          <w:rFonts w:ascii="Calibri" w:cs="Calibri" w:eastAsia="Calibri" w:hAnsi="Calibri"/>
          <w:b/>
          <w:bCs/>
          <w:color w:val="5F259F"/>
          <w:sz w:val="20"/>
          <w:szCs w:val="20"/>
        </w:rPr>
        <w:t xml:space="preserve">Note: </w:t>
      </w:r>
      <w:r>
        <w:rPr>
          <w:rFonts w:ascii="Calibri" w:cs="Calibri" w:eastAsia="Calibri" w:hAnsi="Calibri"/>
          <w:color w:val="1A1A1A"/>
          <w:sz w:val="20"/>
          <w:szCs w:val="20"/>
        </w:rPr>
        <w:t xml:space="preserve">This table shows only the top 5 recipients by payment value. The full dataset includes many additional transactions and recipients beyond those listed here; the complete breakdown is available in the source Power BI dashboard / underlying data on request.</w:t>
      </w:r>
    </w:p>
    <w:p>
      <w:pPr>
        <w:pStyle w:val="Heading1"/>
        <w:pBdr>
          <w:bottom w:val="single" w:color="7B2FD1" w:sz="6" w:space="4"/>
        </w:pBdr>
        <w:spacing w:after="160" w:before="320"/>
      </w:pPr>
      <w:r>
        <w:rPr>
          <w:rFonts w:ascii="Calibri" w:cs="Calibri" w:eastAsia="Calibri" w:hAnsi="Calibri"/>
          <w:b/>
          <w:bCs/>
          <w:color w:val="5F259F"/>
          <w:sz w:val="30"/>
          <w:szCs w:val="30"/>
        </w:rPr>
        <w:t xml:space="preserve">Key Findings</w:t>
      </w:r>
    </w:p>
    <w:p>
      <w:pPr>
        <w:pStyle w:val="ListParagraph"/>
        <w:numPr>
          <w:ilvl w:val="0"/>
          <w:numId w:val="1"/>
        </w:numPr>
        <w:spacing w:after="90"/>
      </w:pPr>
      <w:r>
        <w:rPr>
          <w:rFonts w:ascii="Calibri" w:cs="Calibri" w:eastAsia="Calibri" w:hAnsi="Calibri"/>
          <w:color w:val="1A1A1A"/>
          <w:sz w:val="22"/>
          <w:szCs w:val="22"/>
        </w:rPr>
        <w:t xml:space="preserve">Payments are heavily concentrated: one recipient (Shiv Asare) accounts for the majority of total debit value.</w:t>
      </w:r>
    </w:p>
    <w:p>
      <w:pPr>
        <w:pStyle w:val="ListParagraph"/>
        <w:numPr>
          <w:ilvl w:val="0"/>
          <w:numId w:val="1"/>
        </w:numPr>
        <w:spacing w:after="90"/>
      </w:pPr>
      <w:r>
        <w:rPr>
          <w:rFonts w:ascii="Calibri" w:cs="Calibri" w:eastAsia="Calibri" w:hAnsi="Calibri"/>
          <w:color w:val="1A1A1A"/>
          <w:sz w:val="22"/>
          <w:szCs w:val="22"/>
        </w:rPr>
        <w:t xml:space="preserve">August is a clear outlier month and should be investigated for a one-off large payment or billing event.</w:t>
      </w:r>
    </w:p>
    <w:p>
      <w:pPr>
        <w:pStyle w:val="ListParagraph"/>
        <w:numPr>
          <w:ilvl w:val="0"/>
          <w:numId w:val="1"/>
        </w:numPr>
        <w:spacing w:after="90"/>
      </w:pPr>
      <w:r>
        <w:rPr>
          <w:rFonts w:ascii="Calibri" w:cs="Calibri" w:eastAsia="Calibri" w:hAnsi="Calibri"/>
          <w:color w:val="1A1A1A"/>
          <w:sz w:val="22"/>
          <w:szCs w:val="22"/>
        </w:rPr>
        <w:t xml:space="preserve">Credit activity is minimal (2.11% of total value), so this account functions primarily as an outgoing payment channel.</w:t>
      </w:r>
    </w:p>
    <w:p>
      <w:pPr>
        <w:pStyle w:val="ListParagraph"/>
        <w:numPr>
          <w:ilvl w:val="0"/>
          <w:numId w:val="1"/>
        </w:numPr>
        <w:spacing w:after="90"/>
      </w:pPr>
      <w:r>
        <w:rPr>
          <w:rFonts w:ascii="Calibri" w:cs="Calibri" w:eastAsia="Calibri" w:hAnsi="Calibri"/>
          <w:color w:val="1A1A1A"/>
          <w:sz w:val="22"/>
          <w:szCs w:val="22"/>
        </w:rPr>
        <w:t xml:space="preserve">Friday–Sunday together represent the heaviest spending window of the week.</w:t>
      </w:r>
    </w:p>
    <w:p>
      <w:pPr>
        <w:pStyle w:val="Heading1"/>
        <w:pBdr>
          <w:bottom w:val="single" w:color="7B2FD1" w:sz="6" w:space="4"/>
        </w:pBdr>
        <w:spacing w:after="160" w:before="320"/>
      </w:pPr>
      <w:r>
        <w:rPr>
          <w:rFonts w:ascii="Calibri" w:cs="Calibri" w:eastAsia="Calibri" w:hAnsi="Calibri"/>
          <w:b/>
          <w:bCs/>
          <w:color w:val="5F259F"/>
          <w:sz w:val="30"/>
          <w:szCs w:val="30"/>
        </w:rPr>
        <w:t xml:space="preserve">Recommendations</w:t>
      </w:r>
    </w:p>
    <w:p>
      <w:pPr>
        <w:pStyle w:val="ListParagraph"/>
        <w:numPr>
          <w:ilvl w:val="0"/>
          <w:numId w:val="1"/>
        </w:numPr>
        <w:spacing w:after="90"/>
      </w:pPr>
      <w:r>
        <w:rPr>
          <w:rFonts w:ascii="Calibri" w:cs="Calibri" w:eastAsia="Calibri" w:hAnsi="Calibri"/>
          <w:color w:val="1A1A1A"/>
          <w:sz w:val="22"/>
          <w:szCs w:val="22"/>
        </w:rPr>
        <w:t xml:space="preserve">Review the August transaction(s) individually to confirm whether the spike was a planned one-time payment or an anomaly.</w:t>
      </w:r>
    </w:p>
    <w:p>
      <w:pPr>
        <w:pStyle w:val="ListParagraph"/>
        <w:numPr>
          <w:ilvl w:val="0"/>
          <w:numId w:val="1"/>
        </w:numPr>
        <w:spacing w:after="90"/>
      </w:pPr>
      <w:r>
        <w:rPr>
          <w:rFonts w:ascii="Calibri" w:cs="Calibri" w:eastAsia="Calibri" w:hAnsi="Calibri"/>
          <w:color w:val="1A1A1A"/>
          <w:sz w:val="22"/>
          <w:szCs w:val="22"/>
        </w:rPr>
        <w:t xml:space="preserve">Set a monitoring threshold/alert for any single recipient exceeding a defined % of monthly outflow, given the concentration around Shiv Asare.</w:t>
      </w:r>
    </w:p>
    <w:p>
      <w:pPr>
        <w:pStyle w:val="ListParagraph"/>
        <w:numPr>
          <w:ilvl w:val="0"/>
          <w:numId w:val="1"/>
        </w:numPr>
        <w:spacing w:after="90"/>
      </w:pPr>
      <w:r>
        <w:rPr>
          <w:rFonts w:ascii="Calibri" w:cs="Calibri" w:eastAsia="Calibri" w:hAnsi="Calibri"/>
          <w:color w:val="1A1A1A"/>
          <w:sz w:val="22"/>
          <w:szCs w:val="22"/>
        </w:rPr>
        <w:t xml:space="preserve">If this is a personal/business expense account, consider budgeting a fixed monthly cap given the volatility between the lowest (~₹8,000) and highest (~₹1,06,000) months.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PhonePe Transaction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2026-10-03T13:33:00.429Z</dcterms:created>
  <dcterms:modified xsi:type="dcterms:W3CDTF">2026-10-03T13:33:00.436Z</dcterms:modified>
</cp:coreProperties>
</file>

<file path=docProps/custom.xml><?xml version="1.0" encoding="utf-8"?>
<Properties xmlns="http://schemas.openxmlformats.org/officeDocument/2006/custom-properties" xmlns:vt="http://schemas.openxmlformats.org/officeDocument/2006/docPropsVTypes"/>
</file>