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9.png" ContentType="image/png"/>
  <Override PartName="/word/media/rId38.png" ContentType="image/png"/>
  <Override PartName="/word/media/rId48.png" ContentType="image/png"/>
  <Override PartName="/word/media/rId56.png" ContentType="image/png"/>
  <Override PartName="/word/media/rId61.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21571cdb8a502020570c53cd6e293010042d6c6"/>
    <w:p>
      <w:pPr>
        <w:pStyle w:val="Heading1"/>
      </w:pPr>
      <w:r>
        <w:t xml:space="preserve">Capstone Project 1: Walmart Store Sales Demand Forecasting &amp; Outlets Inventory Optimization</w:t>
      </w:r>
    </w:p>
    <w:bookmarkStart w:id="9" w:name="X296e7e81f5c2b842b2bc24df09e9550ee35922f"/>
    <w:p>
      <w:pPr>
        <w:pStyle w:val="Heading3"/>
      </w:pPr>
      <w:r>
        <w:rPr>
          <w:i/>
          <w:iCs/>
        </w:rPr>
        <w:t xml:space="preserve">A Multi-Outlet Macroeconomic Time Series Demand Planning Architecture</w:t>
      </w:r>
    </w:p>
    <w:p>
      <w:r>
        <w:pict>
          <v:rect style="width:0;height:1.5pt" o:hralign="center" o:hrstd="t" o:hr="t"/>
        </w:pict>
      </w:r>
    </w:p>
    <w:p>
      <w:pPr>
        <w:pStyle w:val="FirstParagraph"/>
      </w:pPr>
      <w:r>
        <w:rPr>
          <w:b/>
          <w:bCs/>
        </w:rPr>
        <w:t xml:space="preserve">Author</w:t>
      </w:r>
      <w:r>
        <w:t xml:space="preserve">: Aman Banik |</w:t>
      </w:r>
      <w:r>
        <w:t xml:space="preserve"> </w:t>
      </w:r>
      <w:r>
        <w:rPr>
          <w:b/>
          <w:bCs/>
        </w:rPr>
        <w:t xml:space="preserve">Specialization</w:t>
      </w:r>
      <w:r>
        <w:t xml:space="preserve">: Data Science &amp; Artificial Intelligence (DSAI)</w:t>
      </w:r>
      <w:r>
        <w:br/>
      </w:r>
      <w:r>
        <w:rPr>
          <w:b/>
          <w:bCs/>
        </w:rPr>
        <w:t xml:space="preserve">Environment</w:t>
      </w:r>
      <w:r>
        <w:t xml:space="preserve">: Conda</w:t>
      </w:r>
      <w:r>
        <w:t xml:space="preserve"> </w:t>
      </w:r>
      <w:r>
        <w:rPr>
          <w:rStyle w:val="VerbatimChar"/>
        </w:rPr>
        <w:t xml:space="preserve">DL_AI_env_311</w:t>
      </w:r>
      <w:r>
        <w:t xml:space="preserve"> </w:t>
      </w:r>
      <w:r>
        <w:t xml:space="preserve">(Python 3.11.15) |</w:t>
      </w:r>
      <w:r>
        <w:t xml:space="preserve"> </w:t>
      </w:r>
      <w:r>
        <w:rPr>
          <w:b/>
          <w:bCs/>
        </w:rPr>
        <w:t xml:space="preserve">Kernel</w:t>
      </w:r>
      <w:r>
        <w:t xml:space="preserve">:</w:t>
      </w:r>
      <w:r>
        <w:t xml:space="preserve"> </w:t>
      </w:r>
      <w:r>
        <w:rPr>
          <w:rStyle w:val="VerbatimChar"/>
        </w:rPr>
        <w:t xml:space="preserve">deepmind</w:t>
      </w:r>
      <w:r>
        <w:br/>
      </w:r>
      <w:r>
        <w:rPr>
          <w:b/>
          <w:bCs/>
        </w:rPr>
        <w:t xml:space="preserve">Artifact Repository</w:t>
      </w:r>
      <w:r>
        <w:t xml:space="preserve">:</w:t>
      </w:r>
      <w:r>
        <w:t xml:space="preserve"> </w:t>
      </w:r>
      <w:r>
        <w:rPr>
          <w:rStyle w:val="VerbatimChar"/>
        </w:rPr>
        <w:t xml:space="preserve">https://github.com/AmanBanik/capstone_DSAI_IITI.git</w:t>
      </w:r>
      <w:r>
        <w:br/>
      </w:r>
      <w:r>
        <w:rPr>
          <w:b/>
          <w:bCs/>
        </w:rPr>
        <w:t xml:space="preserve">Date</w:t>
      </w:r>
      <w:r>
        <w:t xml:space="preserve">: October 2026</w:t>
      </w:r>
    </w:p>
    <w:p>
      <w:r>
        <w:pict>
          <v:rect style="width:0;height:1.5pt" o:hralign="center" o:hrstd="t" o:hr="t"/>
        </w:pict>
      </w:r>
    </w:p>
    <w:bookmarkEnd w:id="9"/>
    <w:bookmarkEnd w:id="10"/>
    <w:bookmarkStart w:id="11" w:name="executive-abstract"/>
    <w:p>
      <w:pPr>
        <w:pStyle w:val="Heading3"/>
      </w:pPr>
      <w:r>
        <w:t xml:space="preserve">Executive Abstract</w:t>
      </w:r>
    </w:p>
    <w:p>
      <w:pPr>
        <w:pStyle w:val="FirstParagraph"/>
      </w:pPr>
      <w:r>
        <w:t xml:space="preserve">This report presents an end-to-end, publication-grade predictive modeling architecture developed for a national retail chain operating 45 distinct store outlets across diverse macroeconomic environments. Facing critical friction in matching store-level inventory supply with dynamic consumer demand, we formulate an empirical time-series forecasting framework to project weekly store sales over a 12-week forward planning horizon. Using 6,435 weekly observations spanning February 2010 to October 2012, we evaluate a spectrum of models including naive persistence, classical statistical SARIMAX, Facebook Prophet, Random Forest, and Extreme Gradient Boosting (XGBoost). Using a 3-fold expanding chronological</w:t>
      </w:r>
      <w:r>
        <w:t xml:space="preserve"> </w:t>
      </w:r>
      <w:r>
        <w:rPr>
          <w:rStyle w:val="VerbatimChar"/>
        </w:rPr>
        <w:t xml:space="preserve">TimeSeriesSplit</w:t>
      </w:r>
      <w:r>
        <w:t xml:space="preserve"> </w:t>
      </w:r>
      <w:r>
        <w:t xml:space="preserve">cross-validation scheme, our tuned champion XGBoost regressor achieves state-of-the-art accuracy with an out-of-sample Root Mean Squared Error (RMSE) of</w:t>
      </w:r>
      <w:r>
        <w:t xml:space="preserve"> </w:t>
      </w:r>
      <w:r>
        <w:rPr>
          <w:b/>
          <w:bCs/>
        </w:rPr>
        <w:t xml:space="preserve">$49,140.51</w:t>
      </w:r>
      <w:r>
        <w:t xml:space="preserve"> </w:t>
      </w:r>
      <w:r>
        <w:t xml:space="preserve">and a Weighted Absolute Percentage Error (WAPE) of</w:t>
      </w:r>
      <w:r>
        <w:t xml:space="preserve"> </w:t>
      </w:r>
      <w:r>
        <w:rPr>
          <w:b/>
          <w:bCs/>
        </w:rPr>
        <w:t xml:space="preserve">3.27%</w:t>
      </w:r>
      <w:r>
        <w:t xml:space="preserve"> </w:t>
      </w:r>
      <w:r>
        <w:t xml:space="preserve">across all 45 stores (reducing total forecast dollar error by</w:t>
      </w:r>
      <w:r>
        <w:t xml:space="preserve"> </w:t>
      </w:r>
      <w:r>
        <w:rPr>
          <w:b/>
          <w:bCs/>
        </w:rPr>
        <w:t xml:space="preserve">&gt;28%</w:t>
      </w:r>
      <w:r>
        <w:t xml:space="preserve"> </w:t>
      </w:r>
      <w:r>
        <w:t xml:space="preserve">over baseline). Finally, we translate forecast errors into mathematically optimal safety stock buffers and dynamic Reorder Points (ROP), ensuring</w:t>
      </w:r>
      <w:r>
        <w:t xml:space="preserve"> </w:t>
      </w:r>
      <w:r>
        <w:rPr>
          <w:b/>
          <w:bCs/>
        </w:rPr>
        <w:t xml:space="preserve">95% to 98% on-shelf availability</w:t>
      </w:r>
      <w:r>
        <w:t xml:space="preserve"> </w:t>
      </w:r>
      <w:r>
        <w:t xml:space="preserve">while minimizing capital lock-in and inventory holding costs.</w:t>
      </w:r>
    </w:p>
    <w:p>
      <w:r>
        <w:br w:type="page"/>
      </w:r>
    </w:p>
    <w:bookmarkEnd w:id="11"/>
    <w:bookmarkStart w:id="12" w:name="table-of-contents"/>
    <w:p>
      <w:pPr>
        <w:pStyle w:val="Heading1"/>
      </w:pPr>
      <w:r>
        <w:t xml:space="preserve">Table of Contents</w:t>
      </w:r>
    </w:p>
    <w:p>
      <w:pPr>
        <w:pStyle w:val="FirstParagraph"/>
      </w:pPr>
      <w:r>
        <w:rPr>
          <w:i/>
          <w:iCs/>
        </w:rPr>
        <w:t xml:space="preserve">Adhering strictly to the 12-section blueprint specified in</w:t>
      </w:r>
      <w:r>
        <w:rPr>
          <w:i/>
          <w:iCs/>
        </w:rPr>
        <w:t xml:space="preserve"> </w:t>
      </w:r>
      <w:r>
        <w:rPr>
          <w:rStyle w:val="VerbatimChar"/>
          <w:i/>
          <w:iCs/>
        </w:rPr>
        <w:t xml:space="preserve">Draft.pdf</w:t>
      </w:r>
      <w:r>
        <w:rPr>
          <w:i/>
          <w:iCs/>
        </w:rPr>
        <w:t xml:space="preserve"> </w:t>
      </w:r>
      <w:r>
        <w:rPr>
          <w:i/>
          <w:iCs/>
        </w:rPr>
        <w:t xml:space="preserve">and</w:t>
      </w:r>
      <w:r>
        <w:rPr>
          <w:i/>
          <w:iCs/>
        </w:rPr>
        <w:t xml:space="preserve"> </w:t>
      </w:r>
      <w:r>
        <w:rPr>
          <w:rStyle w:val="VerbatimChar"/>
          <w:i/>
          <w:iCs/>
        </w:rPr>
        <w:t xml:space="preserve">guideline.md</w:t>
      </w:r>
      <w:r>
        <w:rPr>
          <w:i/>
          <w:iCs/>
        </w:rPr>
        <w:t xml:space="preserve">.</w:t>
      </w:r>
    </w:p>
    <w:p>
      <w:r>
        <w:pict>
          <v:rect style="width:0;height:1.5pt" o:hralign="center" o:hrstd="t" o:hr="t"/>
        </w:pic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Section</w:t>
            </w:r>
          </w:p>
        </w:tc>
        <w:tc>
          <w:tcPr/>
          <w:p>
            <w:pPr>
              <w:pStyle w:val="Compact"/>
              <w:jc w:val="left"/>
            </w:pPr>
            <w:r>
              <w:t xml:space="preserve">Section Title</w:t>
            </w:r>
          </w:p>
        </w:tc>
        <w:tc>
          <w:tcPr/>
          <w:p>
            <w:pPr>
              <w:pStyle w:val="Compact"/>
              <w:jc w:val="left"/>
            </w:pPr>
            <w:r>
              <w:t xml:space="preserve">Primary Focus &amp; Deliverables</w:t>
            </w:r>
          </w:p>
        </w:tc>
      </w:tr>
      <w:tr>
        <w:tc>
          <w:tcPr/>
          <w:p>
            <w:pPr>
              <w:pStyle w:val="Compact"/>
              <w:jc w:val="left"/>
            </w:pPr>
            <w:r>
              <w:rPr>
                <w:b/>
                <w:bCs/>
              </w:rPr>
              <w:t xml:space="preserve">Section 1</w:t>
            </w:r>
          </w:p>
        </w:tc>
        <w:tc>
          <w:tcPr/>
          <w:p>
            <w:pPr>
              <w:pStyle w:val="Compact"/>
              <w:jc w:val="left"/>
            </w:pPr>
            <w:r>
              <w:rPr>
                <w:b/>
                <w:bCs/>
              </w:rPr>
              <w:t xml:space="preserve">Problem Statement</w:t>
            </w:r>
          </w:p>
        </w:tc>
        <w:tc>
          <w:tcPr/>
          <w:p>
            <w:pPr>
              <w:pStyle w:val="Compact"/>
              <w:jc w:val="left"/>
            </w:pPr>
            <w:r>
              <w:t xml:space="preserve">Multi-outlet demand friction &amp; supply chain complexity</w:t>
            </w:r>
          </w:p>
        </w:tc>
      </w:tr>
      <w:tr>
        <w:tc>
          <w:tcPr/>
          <w:p>
            <w:pPr>
              <w:pStyle w:val="Compact"/>
              <w:jc w:val="left"/>
            </w:pPr>
            <w:r>
              <w:rPr>
                <w:b/>
                <w:bCs/>
              </w:rPr>
              <w:t xml:space="preserve">Section 2</w:t>
            </w:r>
          </w:p>
        </w:tc>
        <w:tc>
          <w:tcPr/>
          <w:p>
            <w:pPr>
              <w:pStyle w:val="Compact"/>
              <w:jc w:val="left"/>
            </w:pPr>
            <w:r>
              <w:rPr>
                <w:b/>
                <w:bCs/>
              </w:rPr>
              <w:t xml:space="preserve">Project Objective</w:t>
            </w:r>
          </w:p>
        </w:tc>
        <w:tc>
          <w:tcPr/>
          <w:p>
            <w:pPr>
              <w:pStyle w:val="Compact"/>
              <w:jc w:val="left"/>
            </w:pPr>
            <w:r>
              <w:t xml:space="preserve">12-week horizon forecasting &amp; safety stock sizing</w:t>
            </w:r>
          </w:p>
        </w:tc>
      </w:tr>
      <w:tr>
        <w:tc>
          <w:tcPr/>
          <w:p>
            <w:pPr>
              <w:pStyle w:val="Compact"/>
              <w:jc w:val="left"/>
            </w:pPr>
            <w:r>
              <w:rPr>
                <w:b/>
                <w:bCs/>
              </w:rPr>
              <w:t xml:space="preserve">Section 3</w:t>
            </w:r>
          </w:p>
        </w:tc>
        <w:tc>
          <w:tcPr/>
          <w:p>
            <w:pPr>
              <w:pStyle w:val="Compact"/>
              <w:jc w:val="left"/>
            </w:pPr>
            <w:r>
              <w:rPr>
                <w:b/>
                <w:bCs/>
              </w:rPr>
              <w:t xml:space="preserve">Data Description</w:t>
            </w:r>
          </w:p>
        </w:tc>
        <w:tc>
          <w:tcPr/>
          <w:p>
            <w:pPr>
              <w:pStyle w:val="Compact"/>
              <w:jc w:val="left"/>
            </w:pPr>
            <w:r>
              <w:t xml:space="preserve">6,435 weekly panel observations &amp; data dictionary</w:t>
            </w:r>
          </w:p>
        </w:tc>
      </w:tr>
      <w:tr>
        <w:tc>
          <w:tcPr/>
          <w:p>
            <w:pPr>
              <w:pStyle w:val="Compact"/>
              <w:jc w:val="left"/>
            </w:pPr>
            <w:r>
              <w:rPr>
                <w:b/>
                <w:bCs/>
              </w:rPr>
              <w:t xml:space="preserve">Section 4</w:t>
            </w:r>
          </w:p>
        </w:tc>
        <w:tc>
          <w:tcPr/>
          <w:p>
            <w:pPr>
              <w:pStyle w:val="Compact"/>
              <w:jc w:val="left"/>
            </w:pPr>
            <w:r>
              <w:rPr>
                <w:b/>
                <w:bCs/>
              </w:rPr>
              <w:t xml:space="preserve">Data Pre-processing Steps</w:t>
            </w:r>
          </w:p>
        </w:tc>
        <w:tc>
          <w:tcPr/>
          <w:p>
            <w:pPr>
              <w:pStyle w:val="Compact"/>
              <w:jc w:val="left"/>
            </w:pPr>
            <w:r>
              <w:t xml:space="preserve">Chronological alignment, cyclical &amp; lag features</w:t>
            </w:r>
          </w:p>
        </w:tc>
      </w:tr>
      <w:tr>
        <w:tc>
          <w:tcPr/>
          <w:p>
            <w:pPr>
              <w:pStyle w:val="Compact"/>
              <w:jc w:val="left"/>
            </w:pPr>
            <w:r>
              <w:rPr>
                <w:b/>
                <w:bCs/>
              </w:rPr>
              <w:t xml:space="preserve">Section 5</w:t>
            </w:r>
          </w:p>
        </w:tc>
        <w:tc>
          <w:tcPr/>
          <w:p>
            <w:pPr>
              <w:pStyle w:val="Compact"/>
              <w:jc w:val="left"/>
            </w:pPr>
            <w:r>
              <w:rPr>
                <w:b/>
                <w:bCs/>
              </w:rPr>
              <w:t xml:space="preserve">Choosing the Algorithm</w:t>
            </w:r>
          </w:p>
        </w:tc>
        <w:tc>
          <w:tcPr/>
          <w:p>
            <w:pPr>
              <w:pStyle w:val="Compact"/>
              <w:jc w:val="left"/>
            </w:pPr>
            <w:r>
              <w:t xml:space="preserve">Algorithmic taxonomy &amp; candidate architectures</w:t>
            </w:r>
          </w:p>
        </w:tc>
      </w:tr>
      <w:tr>
        <w:tc>
          <w:tcPr/>
          <w:p>
            <w:pPr>
              <w:pStyle w:val="Compact"/>
              <w:jc w:val="left"/>
            </w:pPr>
            <w:r>
              <w:rPr>
                <w:b/>
                <w:bCs/>
              </w:rPr>
              <w:t xml:space="preserve">Section 6</w:t>
            </w:r>
          </w:p>
        </w:tc>
        <w:tc>
          <w:tcPr/>
          <w:p>
            <w:pPr>
              <w:pStyle w:val="Compact"/>
              <w:jc w:val="left"/>
            </w:pPr>
            <w:r>
              <w:rPr>
                <w:b/>
                <w:bCs/>
              </w:rPr>
              <w:t xml:space="preserve">Motivation &amp; Reasons</w:t>
            </w:r>
          </w:p>
        </w:tc>
        <w:tc>
          <w:tcPr/>
          <w:p>
            <w:pPr>
              <w:pStyle w:val="Compact"/>
              <w:jc w:val="left"/>
            </w:pPr>
            <w:r>
              <w:t xml:space="preserve">Non-linear interactions &amp; low-latency execution</w:t>
            </w:r>
          </w:p>
        </w:tc>
      </w:tr>
      <w:tr>
        <w:tc>
          <w:tcPr/>
          <w:p>
            <w:pPr>
              <w:pStyle w:val="Compact"/>
              <w:jc w:val="left"/>
            </w:pPr>
            <w:r>
              <w:rPr>
                <w:b/>
                <w:bCs/>
              </w:rPr>
              <w:t xml:space="preserve">Section 7</w:t>
            </w:r>
          </w:p>
        </w:tc>
        <w:tc>
          <w:tcPr/>
          <w:p>
            <w:pPr>
              <w:pStyle w:val="Compact"/>
              <w:jc w:val="left"/>
            </w:pPr>
            <w:r>
              <w:rPr>
                <w:b/>
                <w:bCs/>
              </w:rPr>
              <w:t xml:space="preserve">Assumptions</w:t>
            </w:r>
          </w:p>
        </w:tc>
        <w:tc>
          <w:tcPr/>
          <w:p>
            <w:pPr>
              <w:pStyle w:val="Compact"/>
              <w:jc w:val="left"/>
            </w:pPr>
            <w:r>
              <w:t xml:space="preserve">Stationarity, exogeneity &amp; seasonal decomposition</w:t>
            </w:r>
          </w:p>
        </w:tc>
      </w:tr>
      <w:tr>
        <w:tc>
          <w:tcPr/>
          <w:p>
            <w:pPr>
              <w:pStyle w:val="Compact"/>
              <w:jc w:val="left"/>
            </w:pPr>
            <w:r>
              <w:rPr>
                <w:b/>
                <w:bCs/>
              </w:rPr>
              <w:t xml:space="preserve">Section 8</w:t>
            </w:r>
          </w:p>
        </w:tc>
        <w:tc>
          <w:tcPr/>
          <w:p>
            <w:pPr>
              <w:pStyle w:val="Compact"/>
              <w:jc w:val="left"/>
            </w:pPr>
            <w:r>
              <w:rPr>
                <w:b/>
                <w:bCs/>
              </w:rPr>
              <w:t xml:space="preserve">Model Evaluation &amp; Techniques</w:t>
            </w:r>
          </w:p>
        </w:tc>
        <w:tc>
          <w:tcPr/>
          <w:p>
            <w:pPr>
              <w:pStyle w:val="Compact"/>
              <w:jc w:val="left"/>
            </w:pPr>
            <w:r>
              <w:t xml:space="preserve">TimeSeriesSplit CV &amp; supply chain metric taxonomy</w:t>
            </w:r>
          </w:p>
        </w:tc>
      </w:tr>
      <w:tr>
        <w:tc>
          <w:tcPr/>
          <w:p>
            <w:pPr>
              <w:pStyle w:val="Compact"/>
              <w:jc w:val="left"/>
            </w:pPr>
            <w:r>
              <w:rPr>
                <w:b/>
                <w:bCs/>
              </w:rPr>
              <w:t xml:space="preserve">Section 9</w:t>
            </w:r>
          </w:p>
        </w:tc>
        <w:tc>
          <w:tcPr/>
          <w:p>
            <w:pPr>
              <w:pStyle w:val="Compact"/>
              <w:jc w:val="left"/>
            </w:pPr>
            <w:r>
              <w:rPr>
                <w:b/>
                <w:bCs/>
              </w:rPr>
              <w:t xml:space="preserve">Inferences from the Same</w:t>
            </w:r>
          </w:p>
        </w:tc>
        <w:tc>
          <w:tcPr/>
          <w:p>
            <w:pPr>
              <w:pStyle w:val="Compact"/>
              <w:jc w:val="left"/>
            </w:pPr>
            <w:r>
              <w:t xml:space="preserve">Out-of-sample benchmarks &amp; safety stock policy</w:t>
            </w:r>
          </w:p>
        </w:tc>
      </w:tr>
      <w:tr>
        <w:tc>
          <w:tcPr/>
          <w:p>
            <w:pPr>
              <w:pStyle w:val="Compact"/>
              <w:jc w:val="left"/>
            </w:pPr>
            <w:r>
              <w:rPr>
                <w:b/>
                <w:bCs/>
              </w:rPr>
              <w:t xml:space="preserve">Section 10</w:t>
            </w:r>
          </w:p>
        </w:tc>
        <w:tc>
          <w:tcPr/>
          <w:p>
            <w:pPr>
              <w:pStyle w:val="Compact"/>
              <w:jc w:val="left"/>
            </w:pPr>
            <w:r>
              <w:rPr>
                <w:b/>
                <w:bCs/>
              </w:rPr>
              <w:t xml:space="preserve">Future Possibilities</w:t>
            </w:r>
          </w:p>
        </w:tc>
        <w:tc>
          <w:tcPr/>
          <w:p>
            <w:pPr>
              <w:pStyle w:val="Compact"/>
              <w:jc w:val="left"/>
            </w:pPr>
            <w:r>
              <w:t xml:space="preserve">SKU reconciliation &amp; dynamic multi-echelon ROP</w:t>
            </w:r>
          </w:p>
        </w:tc>
      </w:tr>
      <w:tr>
        <w:tc>
          <w:tcPr/>
          <w:p>
            <w:pPr>
              <w:pStyle w:val="Compact"/>
              <w:jc w:val="left"/>
            </w:pPr>
            <w:r>
              <w:rPr>
                <w:b/>
                <w:bCs/>
              </w:rPr>
              <w:t xml:space="preserve">Section 11</w:t>
            </w:r>
          </w:p>
        </w:tc>
        <w:tc>
          <w:tcPr/>
          <w:p>
            <w:pPr>
              <w:pStyle w:val="Compact"/>
              <w:jc w:val="left"/>
            </w:pPr>
            <w:r>
              <w:rPr>
                <w:b/>
                <w:bCs/>
              </w:rPr>
              <w:t xml:space="preserve">Conclusion</w:t>
            </w:r>
          </w:p>
        </w:tc>
        <w:tc>
          <w:tcPr/>
          <w:p>
            <w:pPr>
              <w:pStyle w:val="Compact"/>
              <w:jc w:val="left"/>
            </w:pPr>
            <w:r>
              <w:t xml:space="preserve">Executive synthesis &amp; implementation roadmap</w:t>
            </w:r>
          </w:p>
        </w:tc>
      </w:tr>
      <w:tr>
        <w:tc>
          <w:tcPr/>
          <w:p>
            <w:pPr>
              <w:pStyle w:val="Compact"/>
              <w:jc w:val="left"/>
            </w:pPr>
            <w:r>
              <w:rPr>
                <w:b/>
                <w:bCs/>
              </w:rPr>
              <w:t xml:space="preserve">Section 12</w:t>
            </w:r>
          </w:p>
        </w:tc>
        <w:tc>
          <w:tcPr/>
          <w:p>
            <w:pPr>
              <w:pStyle w:val="Compact"/>
              <w:jc w:val="left"/>
            </w:pPr>
            <w:r>
              <w:rPr>
                <w:b/>
                <w:bCs/>
              </w:rPr>
              <w:t xml:space="preserve">References</w:t>
            </w:r>
          </w:p>
        </w:tc>
        <w:tc>
          <w:tcPr/>
          <w:p>
            <w:pPr>
              <w:pStyle w:val="Compact"/>
              <w:jc w:val="left"/>
            </w:pPr>
            <w:r>
              <w:t xml:space="preserve">Formal academic and industrial literature citations</w:t>
            </w:r>
          </w:p>
        </w:tc>
      </w:tr>
    </w:tbl>
    <w:p>
      <w:r>
        <w:pict>
          <v:rect style="width:0;height:1.5pt" o:hralign="center" o:hrstd="t" o:hr="t"/>
        </w:pict>
      </w:r>
    </w:p>
    <w:p>
      <w:r>
        <w:br w:type="page"/>
      </w:r>
    </w:p>
    <w:bookmarkEnd w:id="12"/>
    <w:bookmarkStart w:id="16" w:name="problem-statement"/>
    <w:p>
      <w:pPr>
        <w:pStyle w:val="Heading1"/>
      </w:pPr>
      <w:r>
        <w:t xml:space="preserve">1. Problem Statement</w:t>
      </w:r>
    </w:p>
    <w:bookmarkStart w:id="13" w:name="X55579871ad5b94071ba8002d3ba2b9b3a412c02"/>
    <w:p>
      <w:pPr>
        <w:pStyle w:val="Heading3"/>
      </w:pPr>
      <w:r>
        <w:t xml:space="preserve">1.1 Context &amp; Multi-Outlet Supply Chain Complexity</w:t>
      </w:r>
    </w:p>
    <w:p>
      <w:pPr>
        <w:pStyle w:val="FirstParagraph"/>
      </w:pPr>
      <w:r>
        <w:t xml:space="preserve">Modern enterprise retail organizations operate extensive, geographically distributed networks of physical retail outlets. Managing supply chain logistics across such networks introduces profound operational friction. Customer footfall, seasonal demand spikes, and purchasing power vary dramatically depending on localized microclimates, regional demographic profiles, and broader macroeconomic conditions. In this capstone investigation, we analyze sales demand across</w:t>
      </w:r>
      <w:r>
        <w:t xml:space="preserve"> </w:t>
      </w:r>
      <w:r>
        <w:rPr>
          <w:b/>
          <w:bCs/>
        </w:rPr>
        <w:t xml:space="preserve">45 distinct Walmart retail stores</w:t>
      </w:r>
      <w:r>
        <w:t xml:space="preserve"> </w:t>
      </w:r>
      <w:r>
        <w:t xml:space="preserve">situated throughout the United States.</w:t>
      </w:r>
    </w:p>
    <w:p>
      <w:pPr>
        <w:pStyle w:val="BodyText"/>
      </w:pPr>
      <w:r>
        <w:t xml:space="preserve">Each retail outlet represents a unique operational ecosystem with distinct baseline sales volumes, seasonal amplitudes, and sensitivity to external economic indicators such as regional unemployment rates, fuel prices, and consumer sentiment.</w:t>
      </w:r>
    </w:p>
    <w:bookmarkEnd w:id="13"/>
    <w:bookmarkStart w:id="14" w:name="Xce3b7fed17bdbb7677a8b01a082a4c4203f02fc"/>
    <w:p>
      <w:pPr>
        <w:pStyle w:val="Heading3"/>
      </w:pPr>
      <w:r>
        <w:t xml:space="preserve">1.2 Enterprise Cost Friction: Holding Costs vs. Stockouts</w:t>
      </w:r>
    </w:p>
    <w:p>
      <w:pPr>
        <w:pStyle w:val="FirstParagraph"/>
      </w:pPr>
      <w:r>
        <w:t xml:space="preserve">Supply chain managers face an asymmetric cost trade-off between two operational extremes:</w:t>
      </w:r>
      <w:r>
        <w:t xml:space="preserve"> </w:t>
      </w:r>
      <w:r>
        <w:t xml:space="preserve">1.</w:t>
      </w:r>
      <w:r>
        <w:t xml:space="preserve"> </w:t>
      </w:r>
      <w:r>
        <w:rPr>
          <w:b/>
          <w:bCs/>
        </w:rPr>
        <w:t xml:space="preserve">Excess Inventory Accumulation (Over-Stocking)</w:t>
      </w:r>
      <w:r>
        <w:t xml:space="preserve">: Sourcing excessive inventory locks up corporate working capital, increases warehousing holding costs, requires secondary warehouse lease space, and forces aggressive markdown liquidations that erode gross profit margins.</w:t>
      </w:r>
      <w:r>
        <w:t xml:space="preserve"> </w:t>
      </w:r>
      <w:r>
        <w:t xml:space="preserve">2.</w:t>
      </w:r>
      <w:r>
        <w:t xml:space="preserve"> </w:t>
      </w:r>
      <w:r>
        <w:rPr>
          <w:b/>
          <w:bCs/>
        </w:rPr>
        <w:t xml:space="preserve">Product Stockouts &amp; Shelf Depletion (Under-Stocking)</w:t>
      </w:r>
      <w:r>
        <w:t xml:space="preserve">: Insufficient inventory leads directly to immediate lost revenue, damages brand equity, degrades customer retention, and triggers penalty fees across supplier service level agreements (SLAs).</w:t>
      </w:r>
    </w:p>
    <w:p>
      <w:pPr>
        <w:pStyle w:val="BodyText"/>
      </w:pPr>
      <w:r>
        <w:t xml:space="preserve">Traditional retail replenishment often relies on static moving averages or decentralized, manual store-manager heuristics. Such legacy methods fail to capture non-linear macroeconomic shocks, holiday demand surges, and localized seasonal patterns, resulting in substantial forecast variances and inventory imbalances.</w:t>
      </w:r>
    </w:p>
    <w:bookmarkEnd w:id="14"/>
    <w:bookmarkStart w:id="15" w:name="Xd00b33b2d35578fa6171246c12a14688835610d"/>
    <w:p>
      <w:pPr>
        <w:pStyle w:val="Heading3"/>
      </w:pPr>
      <w:r>
        <w:t xml:space="preserve">1.3 The Forecasting Mandate: 45 Outlets, 12 Weeks Horizon</w:t>
      </w:r>
    </w:p>
    <w:p>
      <w:pPr>
        <w:pStyle w:val="FirstParagraph"/>
      </w:pPr>
      <w:r>
        <w:t xml:space="preserve">To resolve this friction, we are tasked with developing an empirical, automated machine learning forecasting system that generates out-of-sample weekly sales forecasts for</w:t>
      </w:r>
      <w:r>
        <w:t xml:space="preserve"> </w:t>
      </w:r>
      <w:r>
        <w:rPr>
          <w:b/>
          <w:bCs/>
        </w:rPr>
        <w:t xml:space="preserve">all 45 individual stores for a 12-week forward planning horizon</w:t>
      </w:r>
      <w:r>
        <w:t xml:space="preserve">, providing supply chain managers with actionable demand distributions to optimize procurement, central warehouse staging, and retail floor allocation.</w:t>
      </w:r>
    </w:p>
    <w:p>
      <w:r>
        <w:br w:type="page"/>
      </w:r>
    </w:p>
    <w:bookmarkEnd w:id="15"/>
    <w:bookmarkEnd w:id="16"/>
    <w:bookmarkStart w:id="19" w:name="project-objective"/>
    <w:p>
      <w:pPr>
        <w:pStyle w:val="Heading1"/>
      </w:pPr>
      <w:r>
        <w:t xml:space="preserve">2. Project Objective</w:t>
      </w:r>
    </w:p>
    <w:bookmarkStart w:id="17" w:name="core-deliverables-operational-targets"/>
    <w:p>
      <w:pPr>
        <w:pStyle w:val="Heading3"/>
      </w:pPr>
      <w:r>
        <w:t xml:space="preserve">2.1 Core Deliverables &amp; Operational Targets</w:t>
      </w:r>
    </w:p>
    <w:p>
      <w:pPr>
        <w:pStyle w:val="FirstParagraph"/>
      </w:pPr>
      <w:r>
        <w:t xml:space="preserve">The primary mission of this project is to construct a reproducible, production-ready machine learning framework that delivers granular, store-level sales forecasts while establishing an empirical inventory optimization policy.</w:t>
      </w:r>
    </w:p>
    <w:p>
      <w:pPr>
        <w:pStyle w:val="BodyText"/>
      </w:pPr>
      <w:r>
        <w:t xml:space="preserve">Specific operational objectives include:</w:t>
      </w:r>
      <w:r>
        <w:t xml:space="preserve"> </w:t>
      </w:r>
      <w:r>
        <w:t xml:space="preserve">-</w:t>
      </w:r>
      <w:r>
        <w:t xml:space="preserve"> </w:t>
      </w:r>
      <w:r>
        <w:rPr>
          <w:b/>
          <w:bCs/>
        </w:rPr>
        <w:t xml:space="preserve">High-Precision Multi-Store Sales Forecasting</w:t>
      </w:r>
      <w:r>
        <w:t xml:space="preserve">: Construct and tune predictive models to forecast weekly sales (</w:t>
      </w:r>
      <m:oMath>
        <m:sSub>
          <m:e>
            <m:r>
              <m:t>y</m:t>
            </m:r>
          </m:e>
          <m:sub>
            <m:r>
              <m:t>s</m:t>
            </m:r>
            <m:r>
              <m:rPr>
                <m:sty m:val="p"/>
              </m:rPr>
              <m:t>,</m:t>
            </m:r>
            <m:r>
              <m:t>t</m:t>
            </m:r>
          </m:sub>
        </m:sSub>
      </m:oMath>
      <w:r>
        <w:t xml:space="preserve">) for stores</w:t>
      </w:r>
      <w:r>
        <w:t xml:space="preserve"> </w:t>
      </w:r>
      <w:r>
        <w:t xml:space="preserve">$s \in \\{1, \dots, 45\\}$</w:t>
      </w:r>
      <w:r>
        <w:t xml:space="preserve"> </w:t>
      </w:r>
      <w:r>
        <w:t xml:space="preserve">over a 12-week forward planning horizon.</w:t>
      </w:r>
      <w:r>
        <w:t xml:space="preserve"> </w:t>
      </w:r>
      <w:r>
        <w:t xml:space="preserve">-</w:t>
      </w:r>
      <w:r>
        <w:t xml:space="preserve"> </w:t>
      </w:r>
      <w:r>
        <w:rPr>
          <w:b/>
          <w:bCs/>
        </w:rPr>
        <w:t xml:space="preserve">Strict Leakage-Free Temporal Partitioning</w:t>
      </w:r>
      <w:r>
        <w:t xml:space="preserve">: Enforce chronological integrity using expanding window time-series cross-validation (</w:t>
      </w:r>
      <w:r>
        <w:rPr>
          <w:rStyle w:val="VerbatimChar"/>
        </w:rPr>
        <w:t xml:space="preserve">TimeSeriesSplit</w:t>
      </w:r>
      <w:r>
        <w:t xml:space="preserve">), guaranteeing zero lookahead bias.</w:t>
      </w:r>
      <w:r>
        <w:t xml:space="preserve"> </w:t>
      </w:r>
      <w:r>
        <w:t xml:space="preserve">-</w:t>
      </w:r>
      <w:r>
        <w:t xml:space="preserve"> </w:t>
      </w:r>
      <w:r>
        <w:rPr>
          <w:b/>
          <w:bCs/>
        </w:rPr>
        <w:t xml:space="preserve">Macroeconomic &amp; Holiday Interaction Modeling</w:t>
      </w:r>
      <w:r>
        <w:t xml:space="preserve">: Quantify the demand impacts of external indicators (Consumer Price Index, Fuel Prices, Unemployment Rates, Temperature) alongside major holiday events (Super Bowl, Labor Day, Thanksgiving, Christmas).</w:t>
      </w:r>
      <w:r>
        <w:t xml:space="preserve"> </w:t>
      </w:r>
      <w:r>
        <w:t xml:space="preserve">-</w:t>
      </w:r>
      <w:r>
        <w:t xml:space="preserve"> </w:t>
      </w:r>
      <w:r>
        <w:rPr>
          <w:b/>
          <w:bCs/>
        </w:rPr>
        <w:t xml:space="preserve">Supply Chain Error Minimization</w:t>
      </w:r>
      <w:r>
        <w:t xml:space="preserve">: Outperform naive persistence and traditional linear econometric benchmarks by achieving a target</w:t>
      </w:r>
      <w:r>
        <w:t xml:space="preserve"> </w:t>
      </w:r>
      <w:r>
        <w:rPr>
          <w:b/>
          <w:bCs/>
        </w:rPr>
        <w:t xml:space="preserve">Weighted Absolute Percentage Error (WAPE) below 4.0%</w:t>
      </w:r>
      <w:r>
        <w:t xml:space="preserve"> </w:t>
      </w:r>
      <w:r>
        <w:t xml:space="preserve">across all store cohorts.</w:t>
      </w:r>
    </w:p>
    <w:bookmarkEnd w:id="17"/>
    <w:bookmarkStart w:id="18" w:name="Xaa3a1ac645b28161f8701c0ea97df9500fa7ed3"/>
    <w:p>
      <w:pPr>
        <w:pStyle w:val="Heading3"/>
      </w:pPr>
      <w:r>
        <w:t xml:space="preserve">2.2 Mathematical Formulation &amp; Service Level Guarantee</w:t>
      </w:r>
    </w:p>
    <w:p>
      <w:pPr>
        <w:pStyle w:val="FirstParagraph"/>
      </w:pPr>
      <w:r>
        <w:t xml:space="preserve">The final objective is bridging the gap between statistical point forecasts and concrete logistics decisions. By translating store-level out-of-sample residual variance into dynamic inventory replenishment parameters, we establish store-specific</w:t>
      </w:r>
      <w:r>
        <w:t xml:space="preserve"> </w:t>
      </w:r>
      <w:r>
        <w:rPr>
          <w:b/>
          <w:bCs/>
        </w:rPr>
        <w:t xml:space="preserve">Safety Stock (SS)</w:t>
      </w:r>
      <w:r>
        <w:t xml:space="preserve"> </w:t>
      </w:r>
      <w:r>
        <w:t xml:space="preserve">and</w:t>
      </w:r>
      <w:r>
        <w:t xml:space="preserve"> </w:t>
      </w:r>
      <w:r>
        <w:rPr>
          <w:b/>
          <w:bCs/>
        </w:rPr>
        <w:t xml:space="preserve">Reorder Points (ROP)</w:t>
      </w:r>
      <w:r>
        <w:t xml:space="preserve">:</w:t>
      </w:r>
    </w:p>
    <w:p>
      <w:pPr>
        <w:pStyle w:val="BodyText"/>
      </w:pPr>
      <m:oMathPara>
        <m:oMathParaPr>
          <m:jc m:val="center"/>
        </m:oMathParaPr>
        <m:oMath>
          <m:r>
            <m:rPr>
              <m:nor/>
              <m:sty m:val="p"/>
            </m:rPr>
            <m:t>Safety Stock</m:t>
          </m:r>
          <m:r>
            <m:rPr>
              <m:sty m:val="p"/>
            </m:rPr>
            <m:t>=</m:t>
          </m:r>
          <m:sSub>
            <m:e>
              <m:r>
                <m:t>Z</m:t>
              </m:r>
            </m:e>
            <m:sub>
              <m:r>
                <m:t>α</m:t>
              </m:r>
            </m:sub>
          </m:sSub>
          <m:r>
            <m:rPr>
              <m:sty m:val="p"/>
            </m:rPr>
            <m:t>×</m:t>
          </m:r>
          <m:sSub>
            <m:e>
              <m:r>
                <m:rPr>
                  <m:nor/>
                  <m:sty m:val="p"/>
                </m:rPr>
                <m:t>RMSE</m:t>
              </m:r>
            </m:e>
            <m:sub>
              <m:r>
                <m:rPr>
                  <m:nor/>
                  <m:sty m:val="p"/>
                </m:rPr>
                <m:t>store</m:t>
              </m:r>
            </m:sub>
          </m:sSub>
          <m:r>
            <m:rPr>
              <m:sty m:val="p"/>
            </m:rPr>
            <m:t>×</m:t>
          </m:r>
          <m:rad>
            <m:radPr>
              <m:degHide m:val="on"/>
            </m:radPr>
            <m:deg/>
            <m:e>
              <m:r>
                <m:t>L</m:t>
              </m:r>
            </m:e>
          </m:rad>
        </m:oMath>
      </m:oMathPara>
    </w:p>
    <w:p>
      <w:pPr>
        <w:pStyle w:val="FirstParagraph"/>
      </w:pPr>
      <w:r>
        <w:t xml:space="preserve">ensuring a mathematically guaranteed</w:t>
      </w:r>
      <w:r>
        <w:t xml:space="preserve"> </w:t>
      </w:r>
      <w:r>
        <w:rPr>
          <w:b/>
          <w:bCs/>
        </w:rPr>
        <w:t xml:space="preserve">95% to 98% On-Shelf Availability (OSA)</w:t>
      </w:r>
      <w:r>
        <w:t xml:space="preserve"> </w:t>
      </w:r>
      <w:r>
        <w:t xml:space="preserve">service level while minimizing unnecessary inventory holding costs.</w:t>
      </w:r>
    </w:p>
    <w:p>
      <w:r>
        <w:br w:type="page"/>
      </w:r>
    </w:p>
    <w:bookmarkEnd w:id="18"/>
    <w:bookmarkEnd w:id="19"/>
    <w:bookmarkStart w:id="26" w:name="data-description"/>
    <w:p>
      <w:pPr>
        <w:pStyle w:val="Heading1"/>
      </w:pPr>
      <w:r>
        <w:t xml:space="preserve">3. Data Description</w:t>
      </w:r>
    </w:p>
    <w:bookmarkStart w:id="20" w:name="Xbc35a069f4953b4a5a5d219d37d4a8413a9ce6b"/>
    <w:p>
      <w:pPr>
        <w:pStyle w:val="Heading3"/>
      </w:pPr>
      <w:r>
        <w:t xml:space="preserve">3.1 Balanced Panel Dataset Structure &amp; Feature Schema</w:t>
      </w:r>
    </w:p>
    <w:p>
      <w:pPr>
        <w:pStyle w:val="FirstParagraph"/>
      </w:pPr>
      <w:r>
        <w:t xml:space="preserve">The panel comprises</w:t>
      </w:r>
      <w:r>
        <w:t xml:space="preserve"> </w:t>
      </w:r>
      <w:r>
        <w:rPr>
          <w:b/>
          <w:bCs/>
        </w:rPr>
        <w:t xml:space="preserve">6,435 weekly observations</w:t>
      </w:r>
      <w:r>
        <w:t xml:space="preserve"> </w:t>
      </w:r>
      <w:r>
        <w:t xml:space="preserve">across 45 stores over 143 consecutive weeks (February 2010 to October 2012). An automated data hygiene audit confirms 100% completeness with zero missing values and regular 7-day reporting cadence: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Column</w:t>
            </w:r>
          </w:p>
        </w:tc>
        <w:tc>
          <w:tcPr/>
          <w:p>
            <w:pPr>
              <w:pStyle w:val="Compact"/>
              <w:jc w:val="left"/>
            </w:pPr>
            <w:r>
              <w:t xml:space="preserve">Type</w:t>
            </w:r>
          </w:p>
        </w:tc>
        <w:tc>
          <w:tcPr/>
          <w:p>
            <w:pPr>
              <w:pStyle w:val="Compact"/>
              <w:jc w:val="left"/>
            </w:pPr>
            <w:r>
              <w:t xml:space="preserve">Role</w:t>
            </w:r>
          </w:p>
        </w:tc>
        <w:tc>
          <w:tcPr/>
          <w:p>
            <w:pPr>
              <w:pStyle w:val="Compact"/>
              <w:jc w:val="left"/>
            </w:pPr>
            <w:r>
              <w:t xml:space="preserve">Descriptive Statistics &amp; Profile</w:t>
            </w:r>
          </w:p>
        </w:tc>
      </w:tr>
      <w:tr>
        <w:tc>
          <w:tcPr/>
          <w:p>
            <w:pPr>
              <w:pStyle w:val="Compact"/>
              <w:jc w:val="left"/>
            </w:pPr>
            <w:r>
              <w:rPr>
                <w:rStyle w:val="VerbatimChar"/>
              </w:rPr>
              <w:t xml:space="preserve">Store</w:t>
            </w:r>
          </w:p>
        </w:tc>
        <w:tc>
          <w:tcPr/>
          <w:p>
            <w:pPr>
              <w:pStyle w:val="Compact"/>
              <w:jc w:val="left"/>
            </w:pPr>
            <w:r>
              <w:t xml:space="preserve">Integer</w:t>
            </w:r>
          </w:p>
        </w:tc>
        <w:tc>
          <w:tcPr/>
          <w:p>
            <w:pPr>
              <w:pStyle w:val="Compact"/>
              <w:jc w:val="left"/>
            </w:pPr>
            <w:r>
              <w:t xml:space="preserve">Identifier</w:t>
            </w:r>
          </w:p>
        </w:tc>
        <w:tc>
          <w:tcPr/>
          <w:p>
            <w:pPr>
              <w:pStyle w:val="Compact"/>
              <w:jc w:val="left"/>
            </w:pPr>
            <w:r>
              <w:t xml:space="preserve">Discrete index: 1 to 45 (143 records per store)</w:t>
            </w:r>
          </w:p>
        </w:tc>
      </w:tr>
      <w:tr>
        <w:tc>
          <w:tcPr/>
          <w:p>
            <w:pPr>
              <w:pStyle w:val="Compact"/>
              <w:jc w:val="left"/>
            </w:pPr>
            <w:r>
              <w:rPr>
                <w:rStyle w:val="VerbatimChar"/>
              </w:rPr>
              <w:t xml:space="preserve">Date</w:t>
            </w:r>
          </w:p>
        </w:tc>
        <w:tc>
          <w:tcPr/>
          <w:p>
            <w:pPr>
              <w:pStyle w:val="Compact"/>
              <w:jc w:val="left"/>
            </w:pPr>
            <w:r>
              <w:t xml:space="preserve">Datetime</w:t>
            </w:r>
          </w:p>
        </w:tc>
        <w:tc>
          <w:tcPr/>
          <w:p>
            <w:pPr>
              <w:pStyle w:val="Compact"/>
              <w:jc w:val="left"/>
            </w:pPr>
            <w:r>
              <w:t xml:space="preserve">Temporal Index</w:t>
            </w:r>
          </w:p>
        </w:tc>
        <w:tc>
          <w:tcPr/>
          <w:p>
            <w:pPr>
              <w:pStyle w:val="Compact"/>
              <w:jc w:val="left"/>
            </w:pPr>
            <w:r>
              <w:t xml:space="preserve">Weekly cadence: 2010-02-05 to 2012-10-26</w:t>
            </w:r>
          </w:p>
        </w:tc>
      </w:tr>
      <w:tr>
        <w:tc>
          <w:tcPr/>
          <w:p>
            <w:pPr>
              <w:pStyle w:val="Compact"/>
              <w:jc w:val="left"/>
            </w:pPr>
            <w:r>
              <w:rPr>
                <w:rStyle w:val="VerbatimChar"/>
              </w:rPr>
              <w:t xml:space="preserve">Weekly_Sales</w:t>
            </w:r>
          </w:p>
        </w:tc>
        <w:tc>
          <w:tcPr/>
          <w:p>
            <w:pPr>
              <w:pStyle w:val="Compact"/>
              <w:jc w:val="left"/>
            </w:pPr>
            <w:r>
              <w:t xml:space="preserve">Float</w:t>
            </w:r>
          </w:p>
        </w:tc>
        <w:tc>
          <w:tcPr/>
          <w:p>
            <w:pPr>
              <w:pStyle w:val="Compact"/>
              <w:jc w:val="left"/>
            </w:pPr>
            <w:r>
              <w:t xml:space="preserve">Target (</w:t>
            </w:r>
            <m:oMath>
              <m:r>
                <m:t>y</m:t>
              </m:r>
            </m:oMath>
            <w:r>
              <w:t xml:space="preserve">)</w:t>
            </w:r>
          </w:p>
        </w:tc>
        <w:tc>
          <w:tcPr/>
          <w:p>
            <w:pPr>
              <w:pStyle w:val="Compact"/>
              <w:jc w:val="left"/>
            </w:pPr>
            <w:r>
              <w:t xml:space="preserve">Mean: $1,046,965; Std: $564,367; Range: $209,986 to $3,818,686</w:t>
            </w:r>
          </w:p>
        </w:tc>
      </w:tr>
      <w:tr>
        <w:tc>
          <w:tcPr/>
          <w:p>
            <w:pPr>
              <w:pStyle w:val="Compact"/>
              <w:jc w:val="left"/>
            </w:pPr>
            <w:r>
              <w:rPr>
                <w:rStyle w:val="VerbatimChar"/>
              </w:rPr>
              <w:t xml:space="preserve">Holiday_Flag</w:t>
            </w:r>
          </w:p>
        </w:tc>
        <w:tc>
          <w:tcPr/>
          <w:p>
            <w:pPr>
              <w:pStyle w:val="Compact"/>
              <w:jc w:val="left"/>
            </w:pPr>
            <w:r>
              <w:t xml:space="preserve">Binary</w:t>
            </w:r>
          </w:p>
        </w:tc>
        <w:tc>
          <w:tcPr/>
          <w:p>
            <w:pPr>
              <w:pStyle w:val="Compact"/>
              <w:jc w:val="left"/>
            </w:pPr>
            <w:r>
              <w:t xml:space="preserve">Event Flag</w:t>
            </w:r>
          </w:p>
        </w:tc>
        <w:tc>
          <w:tcPr/>
          <w:p>
            <w:pPr>
              <w:pStyle w:val="Compact"/>
              <w:jc w:val="left"/>
            </w:pPr>
            <w:r>
              <w:t xml:space="preserve">1 = Holiday week (n=450, 6.99%); 0 = Non-holiday (n=5,985)</w:t>
            </w:r>
          </w:p>
        </w:tc>
      </w:tr>
      <w:tr>
        <w:tc>
          <w:tcPr/>
          <w:p>
            <w:pPr>
              <w:pStyle w:val="Compact"/>
              <w:jc w:val="left"/>
            </w:pPr>
            <w:r>
              <w:rPr>
                <w:rStyle w:val="VerbatimChar"/>
              </w:rPr>
              <w:t xml:space="preserve">Temperature</w:t>
            </w:r>
          </w:p>
        </w:tc>
        <w:tc>
          <w:tcPr/>
          <w:p>
            <w:pPr>
              <w:pStyle w:val="Compact"/>
              <w:jc w:val="left"/>
            </w:pPr>
            <w:r>
              <w:t xml:space="preserve">Float</w:t>
            </w:r>
          </w:p>
        </w:tc>
        <w:tc>
          <w:tcPr/>
          <w:p>
            <w:pPr>
              <w:pStyle w:val="Compact"/>
              <w:jc w:val="left"/>
            </w:pPr>
            <w:r>
              <w:t xml:space="preserve">Covariate</w:t>
            </w:r>
          </w:p>
        </w:tc>
        <w:tc>
          <w:tcPr/>
          <w:p>
            <w:pPr>
              <w:pStyle w:val="Compact"/>
              <w:jc w:val="left"/>
            </w:pPr>
            <w:r>
              <w:t xml:space="preserve">Mean: 60.66°F; Range: -2.06°F to 100.14°F; Annual seasonal cycle</w:t>
            </w:r>
          </w:p>
        </w:tc>
      </w:tr>
      <w:tr>
        <w:tc>
          <w:tcPr/>
          <w:p>
            <w:pPr>
              <w:pStyle w:val="Compact"/>
              <w:jc w:val="left"/>
            </w:pPr>
            <w:r>
              <w:rPr>
                <w:rStyle w:val="VerbatimChar"/>
              </w:rPr>
              <w:t xml:space="preserve">Fuel_Price</w:t>
            </w:r>
          </w:p>
        </w:tc>
        <w:tc>
          <w:tcPr/>
          <w:p>
            <w:pPr>
              <w:pStyle w:val="Compact"/>
              <w:jc w:val="left"/>
            </w:pPr>
            <w:r>
              <w:t xml:space="preserve">Float</w:t>
            </w:r>
          </w:p>
        </w:tc>
        <w:tc>
          <w:tcPr/>
          <w:p>
            <w:pPr>
              <w:pStyle w:val="Compact"/>
              <w:jc w:val="left"/>
            </w:pPr>
            <w:r>
              <w:t xml:space="preserve">Macro Driver</w:t>
            </w:r>
          </w:p>
        </w:tc>
        <w:tc>
          <w:tcPr/>
          <w:p>
            <w:pPr>
              <w:pStyle w:val="Compact"/>
              <w:jc w:val="left"/>
            </w:pPr>
            <w:r>
              <w:t xml:space="preserve">Mean: $3.36/gal; Range: $2.47 to $4.47; Upward secular trend</w:t>
            </w:r>
          </w:p>
        </w:tc>
      </w:tr>
      <w:tr>
        <w:tc>
          <w:tcPr/>
          <w:p>
            <w:pPr>
              <w:pStyle w:val="Compact"/>
              <w:jc w:val="left"/>
            </w:pPr>
            <w:r>
              <w:rPr>
                <w:rStyle w:val="VerbatimChar"/>
              </w:rPr>
              <w:t xml:space="preserve">CPI</w:t>
            </w:r>
          </w:p>
        </w:tc>
        <w:tc>
          <w:tcPr/>
          <w:p>
            <w:pPr>
              <w:pStyle w:val="Compact"/>
              <w:jc w:val="left"/>
            </w:pPr>
            <w:r>
              <w:t xml:space="preserve">Float</w:t>
            </w:r>
          </w:p>
        </w:tc>
        <w:tc>
          <w:tcPr/>
          <w:p>
            <w:pPr>
              <w:pStyle w:val="Compact"/>
              <w:jc w:val="left"/>
            </w:pPr>
            <w:r>
              <w:t xml:space="preserve">Price Index</w:t>
            </w:r>
          </w:p>
        </w:tc>
        <w:tc>
          <w:tcPr/>
          <w:p>
            <w:pPr>
              <w:pStyle w:val="Compact"/>
              <w:jc w:val="left"/>
            </w:pPr>
            <w:r>
              <w:t xml:space="preserve">Mean: 171.6; Bimodal: 126.1 to 227.2 (regional cost disparity)</w:t>
            </w:r>
          </w:p>
        </w:tc>
      </w:tr>
      <w:tr>
        <w:tc>
          <w:tcPr/>
          <w:p>
            <w:pPr>
              <w:pStyle w:val="Compact"/>
              <w:jc w:val="left"/>
            </w:pPr>
            <w:r>
              <w:rPr>
                <w:rStyle w:val="VerbatimChar"/>
              </w:rPr>
              <w:t xml:space="preserve">Unemployment</w:t>
            </w:r>
          </w:p>
        </w:tc>
        <w:tc>
          <w:tcPr/>
          <w:p>
            <w:pPr>
              <w:pStyle w:val="Compact"/>
              <w:jc w:val="left"/>
            </w:pPr>
            <w:r>
              <w:t xml:space="preserve">Float</w:t>
            </w:r>
          </w:p>
        </w:tc>
        <w:tc>
          <w:tcPr/>
          <w:p>
            <w:pPr>
              <w:pStyle w:val="Compact"/>
              <w:jc w:val="left"/>
            </w:pPr>
            <w:r>
              <w:t xml:space="preserve">Headwind</w:t>
            </w:r>
          </w:p>
        </w:tc>
        <w:tc>
          <w:tcPr/>
          <w:p>
            <w:pPr>
              <w:pStyle w:val="Compact"/>
              <w:jc w:val="left"/>
            </w:pPr>
            <w:r>
              <w:t xml:space="preserve">Mean: 7.999%; Range: 3.88% to 14.31% (regional variance)</w:t>
            </w:r>
          </w:p>
        </w:tc>
      </w:tr>
    </w:tbl>
    <w:p>
      <w:r>
        <w:br w:type="page"/>
      </w:r>
    </w:p>
    <w:bookmarkEnd w:id="20"/>
    <w:bookmarkStart w:id="24" w:name="X34007ff01882910522cf470b6387f7d25594fd9"/>
    <w:p>
      <w:pPr>
        <w:pStyle w:val="Heading3"/>
      </w:pPr>
      <w:r>
        <w:t xml:space="preserve">3.3 Store Volume Stratification &amp; Volatility Archetypes</w:t>
      </w:r>
    </w:p>
    <w:p>
      <w:pPr>
        <w:pStyle w:val="FirstParagraph"/>
      </w:pPr>
      <w:r>
        <w:t xml:space="preserve">Store sales exhibit profound cross-sectional heterogeneity across the 45 retail outlets, driven by retail square footage, urban versus rural density, and competitive positioning:</w:t>
      </w:r>
      <w:r>
        <w:t xml:space="preserve"> </w:t>
      </w:r>
      <w:r>
        <w:t xml:space="preserve">-</w:t>
      </w:r>
      <w:r>
        <w:t xml:space="preserve"> </w:t>
      </w:r>
      <w:r>
        <w:rPr>
          <w:b/>
          <w:bCs/>
        </w:rPr>
        <w:t xml:space="preserve">Tier 1 Flagship Hypermarkets</w:t>
      </w:r>
      <w:r>
        <w:t xml:space="preserve"> </w:t>
      </w:r>
      <w:r>
        <w:t xml:space="preserve">(Stores 4, 14, 20, 13, 2): Mean weekly sales exceed</w:t>
      </w:r>
      <w:r>
        <w:t xml:space="preserve"> </w:t>
      </w:r>
      <w:r>
        <w:rPr>
          <w:b/>
          <w:bCs/>
        </w:rPr>
        <w:t xml:space="preserve">$2.0M</w:t>
      </w:r>
      <w:r>
        <w:t xml:space="preserve">, with peak holiday volume surpassing</w:t>
      </w:r>
      <w:r>
        <w:t xml:space="preserve"> </w:t>
      </w:r>
      <w:r>
        <w:rPr>
          <w:b/>
          <w:bCs/>
        </w:rPr>
        <w:t xml:space="preserve">$3.8M</w:t>
      </w:r>
      <w:r>
        <w:t xml:space="preserve">.</w:t>
      </w:r>
      <w:r>
        <w:t xml:space="preserve"> </w:t>
      </w:r>
      <w:r>
        <w:t xml:space="preserve">-</w:t>
      </w:r>
      <w:r>
        <w:t xml:space="preserve"> </w:t>
      </w:r>
      <w:r>
        <w:rPr>
          <w:b/>
          <w:bCs/>
        </w:rPr>
        <w:t xml:space="preserve">Tier 2 Mid-Volume Community Centers</w:t>
      </w:r>
      <w:r>
        <w:t xml:space="preserve"> </w:t>
      </w:r>
      <w:r>
        <w:t xml:space="preserve">(Stores 1, 6, 10, 19, 27): Stable sales clusters averaging between</w:t>
      </w:r>
      <w:r>
        <w:t xml:space="preserve"> </w:t>
      </w:r>
      <w:r>
        <w:rPr>
          <w:b/>
          <w:bCs/>
        </w:rPr>
        <w:t xml:space="preserve">$1.3M and $1.7M</w:t>
      </w:r>
      <w:r>
        <w:t xml:space="preserve"> </w:t>
      </w:r>
      <w:r>
        <w:t xml:space="preserve">weekly.</w:t>
      </w:r>
      <w:r>
        <w:t xml:space="preserve"> </w:t>
      </w:r>
      <w:r>
        <w:t xml:space="preserve">-</w:t>
      </w:r>
      <w:r>
        <w:t xml:space="preserve"> </w:t>
      </w:r>
      <w:r>
        <w:rPr>
          <w:b/>
          <w:bCs/>
        </w:rPr>
        <w:t xml:space="preserve">Tier 3 Boutique Outlets</w:t>
      </w:r>
      <w:r>
        <w:t xml:space="preserve"> </w:t>
      </w:r>
      <w:r>
        <w:t xml:space="preserve">(Stores 33, 44, 5, 36, 3): Compact footprint operations averaging between</w:t>
      </w:r>
      <w:r>
        <w:t xml:space="preserve"> </w:t>
      </w:r>
      <w:r>
        <w:rPr>
          <w:b/>
          <w:bCs/>
        </w:rPr>
        <w:t xml:space="preserve">$250K and $500K</w:t>
      </w:r>
      <w:r>
        <w:t xml:space="preserve"> </w:t>
      </w:r>
      <w:r>
        <w:t xml:space="preserve">weekly.</w:t>
      </w:r>
    </w:p>
    <w:p>
      <w:pPr>
        <w:pStyle w:val="CaptionedFigure"/>
      </w:pPr>
      <w:r>
        <w:drawing>
          <wp:inline>
            <wp:extent cx="3467100" cy="1282870"/>
            <wp:effectExtent b="0" l="0" r="0" t="0"/>
            <wp:docPr descr="Store Volume &amp; Weekly Sales Volatility Distribution" title="" id="22" name="Picture"/>
            <a:graphic>
              <a:graphicData uri="http://schemas.openxmlformats.org/drawingml/2006/picture">
                <pic:pic>
                  <pic:nvPicPr>
                    <pic:cNvPr descr="../plots/01_store_sales_distribution_boxplot.png" id="23" name="Picture"/>
                    <pic:cNvPicPr>
                      <a:picLocks noChangeArrowheads="1" noChangeAspect="1"/>
                    </pic:cNvPicPr>
                  </pic:nvPicPr>
                  <pic:blipFill>
                    <a:blip r:embed="rId21"/>
                    <a:stretch>
                      <a:fillRect/>
                    </a:stretch>
                  </pic:blipFill>
                  <pic:spPr bwMode="auto">
                    <a:xfrm>
                      <a:off x="0" y="0"/>
                      <a:ext cx="3467100" cy="1282870"/>
                    </a:xfrm>
                    <a:prstGeom prst="rect">
                      <a:avLst/>
                    </a:prstGeom>
                    <a:noFill/>
                    <a:ln w="9525">
                      <a:noFill/>
                      <a:headEnd/>
                      <a:tailEnd/>
                    </a:ln>
                  </pic:spPr>
                </pic:pic>
              </a:graphicData>
            </a:graphic>
          </wp:inline>
        </w:drawing>
      </w:r>
    </w:p>
    <w:p>
      <w:pPr>
        <w:pStyle w:val="ImageCaption"/>
      </w:pPr>
      <w:r>
        <w:t xml:space="preserve">Store Volume &amp; Weekly Sales Volatility Distribution</w:t>
      </w:r>
    </w:p>
    <w:p>
      <w:pPr>
        <w:pStyle w:val="BlockText"/>
      </w:pPr>
      <w:r>
        <w:rPr>
          <w:b/>
          <w:bCs/>
        </w:rPr>
        <w:t xml:space="preserve">Analytical Takeaway</w:t>
      </w:r>
      <w:r>
        <w:t xml:space="preserve">: As illustrated above, store demand distributions display high skewness and varying spread. The interquartile range (IQR) scales proportionally with mean volume, demonstrating that residual inventory variance must be scaled per individual store tier rather than modeled as a monolithic global variance.</w:t>
      </w:r>
    </w:p>
    <w:bookmarkEnd w:id="24"/>
    <w:bookmarkStart w:id="25" w:name="X468a8ed8af4db5262b536d92842a46a873b1251"/>
    <w:p>
      <w:pPr>
        <w:pStyle w:val="Heading3"/>
      </w:pPr>
      <w:r>
        <w:t xml:space="preserve">3.4 Temporal Partitioning: Train vs. Forward Validation Holdout</w:t>
      </w:r>
    </w:p>
    <w:p>
      <w:pPr>
        <w:pStyle w:val="FirstParagraph"/>
      </w:pPr>
      <w:r>
        <w:t xml:space="preserve">To simulate realistic forward deployment, the dataset is split strictly by date:</w:t>
      </w:r>
      <w:r>
        <w:t xml:space="preserve"> </w:t>
      </w:r>
      <w:r>
        <w:t xml:space="preserve">-</w:t>
      </w:r>
      <w:r>
        <w:t xml:space="preserve"> </w:t>
      </w:r>
      <w:r>
        <w:rPr>
          <w:b/>
          <w:bCs/>
        </w:rPr>
        <w:t xml:space="preserve">Historical In-Sample Training Panel</w:t>
      </w:r>
      <w:r>
        <w:t xml:space="preserve">: Weeks 1 to 131 (February 5, 2010 to August 3, 2012; 5,895 observations across all 45 stores).</w:t>
      </w:r>
      <w:r>
        <w:t xml:space="preserve"> </w:t>
      </w:r>
      <w:r>
        <w:t xml:space="preserve">-</w:t>
      </w:r>
      <w:r>
        <w:t xml:space="preserve"> </w:t>
      </w:r>
      <w:r>
        <w:rPr>
          <w:b/>
          <w:bCs/>
        </w:rPr>
        <w:t xml:space="preserve">Out-of-Sample Evaluation Holdout</w:t>
      </w:r>
      <w:r>
        <w:t xml:space="preserve">: Final 12 weeks (August 10, 2012 to October 26, 2012; exactly 540 observations across 45 stores).</w:t>
      </w:r>
    </w:p>
    <w:p>
      <w:r>
        <w:br w:type="page"/>
      </w:r>
    </w:p>
    <w:bookmarkEnd w:id="25"/>
    <w:bookmarkEnd w:id="26"/>
    <w:bookmarkStart w:id="34" w:name="X9ddc4185fcf016bdc47f006e2cc7a437f139d65"/>
    <w:p>
      <w:pPr>
        <w:pStyle w:val="Heading1"/>
      </w:pPr>
      <w:r>
        <w:t xml:space="preserve">4. Data Pre-processing Steps and Inspiration</w:t>
      </w:r>
    </w:p>
    <w:bookmarkStart w:id="27" w:name="X5750d7ed3049e812fbb56801e074ebe63d40a08"/>
    <w:p>
      <w:pPr>
        <w:pStyle w:val="Heading3"/>
      </w:pPr>
      <w:r>
        <w:t xml:space="preserve">4.1 Chronological Sorting &amp; Panel Integrity Verification</w:t>
      </w:r>
    </w:p>
    <w:p>
      <w:pPr>
        <w:pStyle w:val="FirstParagraph"/>
      </w:pPr>
      <w:r>
        <w:t xml:space="preserve">Because tree-based algorithms and feature transformations operate on shifted row positions, ensuring chronological ordering within each store panel is critical:</w:t>
      </w:r>
      <w:r>
        <w:t xml:space="preserve"> </w:t>
      </w:r>
      <w:r>
        <w:t xml:space="preserve">1.</w:t>
      </w:r>
      <w:r>
        <w:t xml:space="preserve"> </w:t>
      </w:r>
      <w:r>
        <w:rPr>
          <w:b/>
          <w:bCs/>
        </w:rPr>
        <w:t xml:space="preserve">Deterministic Multi-Key Sorting</w:t>
      </w:r>
      <w:r>
        <w:t xml:space="preserve">: Rows were explicitly sorted by</w:t>
      </w:r>
      <w:r>
        <w:t xml:space="preserve"> </w:t>
      </w:r>
      <w:r>
        <w:rPr>
          <w:rStyle w:val="VerbatimChar"/>
        </w:rPr>
        <w:t xml:space="preserve">['Store', 'Date']</w:t>
      </w:r>
      <w:r>
        <w:t xml:space="preserve"> </w:t>
      </w:r>
      <w:r>
        <w:t xml:space="preserve">in ascending order.</w:t>
      </w:r>
      <w:r>
        <w:t xml:space="preserve"> </w:t>
      </w:r>
      <w:r>
        <w:t xml:space="preserve">2.</w:t>
      </w:r>
      <w:r>
        <w:t xml:space="preserve"> </w:t>
      </w:r>
      <w:r>
        <w:rPr>
          <w:b/>
          <w:bCs/>
        </w:rPr>
        <w:t xml:space="preserve">Temporal Cadence Assertion</w:t>
      </w:r>
      <w:r>
        <w:t xml:space="preserve">: We verified that</w:t>
      </w:r>
      <w:r>
        <w:t xml:space="preserve"> </w:t>
      </w:r>
      <m:oMath>
        <m:r>
          <m:rPr>
            <m:sty m:val="p"/>
          </m:rPr>
          <m:t>Δ</m:t>
        </m:r>
        <m:r>
          <m:t>t</m:t>
        </m:r>
        <m:r>
          <m:rPr>
            <m:sty m:val="p"/>
          </m:rPr>
          <m:t>=</m:t>
        </m:r>
        <m:r>
          <m:t>7</m:t>
        </m:r>
        <m:r>
          <m:rPr>
            <m:nor/>
            <m:sty m:val="p"/>
          </m:rPr>
          <m:t> days</m:t>
        </m:r>
      </m:oMath>
      <w:r>
        <w:t xml:space="preserve"> </w:t>
      </w:r>
      <w:r>
        <w:t xml:space="preserve">for every row within each store group, preventing accidental sequence skips.</w:t>
      </w:r>
      <w:r>
        <w:t xml:space="preserve"> </w:t>
      </w:r>
      <w:r>
        <w:t xml:space="preserve">3.</w:t>
      </w:r>
      <w:r>
        <w:t xml:space="preserve"> </w:t>
      </w:r>
      <w:r>
        <w:rPr>
          <w:b/>
          <w:bCs/>
        </w:rPr>
        <w:t xml:space="preserve">Immutability of Raw Data</w:t>
      </w:r>
      <w:r>
        <w:t xml:space="preserve">: In accordance with enterprise governance, the raw dataset</w:t>
      </w:r>
      <w:r>
        <w:t xml:space="preserve"> </w:t>
      </w:r>
      <w:r>
        <w:rPr>
          <w:rStyle w:val="VerbatimChar"/>
        </w:rPr>
        <w:t xml:space="preserve">data_raw/Walmart.csv</w:t>
      </w:r>
      <w:r>
        <w:t xml:space="preserve"> </w:t>
      </w:r>
      <w:r>
        <w:t xml:space="preserve">remained strictly read-only throughout all pipeline steps.</w:t>
      </w:r>
    </w:p>
    <w:bookmarkEnd w:id="27"/>
    <w:bookmarkStart w:id="28" w:name="X468c88c7b925e294fb746b3399ad2ed05293f54"/>
    <w:p>
      <w:pPr>
        <w:pStyle w:val="Heading3"/>
      </w:pPr>
      <w:r>
        <w:t xml:space="preserve">4.2 Cyclical Temporal Encodings &amp; Holiday Indicator Engineering</w:t>
      </w:r>
    </w:p>
    <w:p>
      <w:pPr>
        <w:pStyle w:val="FirstParagraph"/>
      </w:pPr>
      <w:r>
        <w:t xml:space="preserve">Standard calendar week numbers (1 to 52) create an artificial boundary discontinuity between Week 52 and Week 1. To preserve harmonic continuity, we engineer cyclical trigonometric features:</w:t>
      </w:r>
    </w:p>
    <w:p>
      <w:pPr>
        <w:pStyle w:val="BodyText"/>
      </w:pPr>
      <m:oMathPara>
        <m:oMathParaPr>
          <m:jc m:val="center"/>
        </m:oMathParaPr>
        <m:oMath>
          <m:sSub>
            <m:e>
              <m:r>
                <m:rPr>
                  <m:nor/>
                  <m:sty m:val="p"/>
                </m:rPr>
                <m:t>Week</m:t>
              </m:r>
            </m:e>
            <m:sub>
              <m:r>
                <m:rPr>
                  <m:sty m:val="p"/>
                </m:rPr>
                <m:t>sin</m:t>
              </m:r>
            </m:sub>
          </m:sSub>
          <m:r>
            <m:rPr>
              <m:sty m:val="p"/>
            </m:rPr>
            <m:t>=</m:t>
          </m:r>
          <m:r>
            <m:rPr>
              <m:sty m:val="p"/>
            </m:rPr>
            <m:t>sin</m:t>
          </m:r>
          <m:d>
            <m:dPr>
              <m:begChr m:val="("/>
              <m:sepChr m:val=""/>
              <m:endChr m:val=")"/>
              <m:grow/>
            </m:dPr>
            <m:e>
              <m:f>
                <m:fPr>
                  <m:type m:val="bar"/>
                </m:fPr>
                <m:num>
                  <m:r>
                    <m:t>2</m:t>
                  </m:r>
                  <m:r>
                    <m:t>π</m:t>
                  </m:r>
                  <m:r>
                    <m:rPr>
                      <m:sty m:val="p"/>
                    </m:rPr>
                    <m:t>×</m:t>
                  </m:r>
                  <m:r>
                    <m:rPr>
                      <m:nor/>
                      <m:sty m:val="p"/>
                    </m:rPr>
                    <m:t>Week</m:t>
                  </m:r>
                </m:num>
                <m:den>
                  <m:r>
                    <m:t>52.1775</m:t>
                  </m:r>
                </m:den>
              </m:f>
            </m:e>
          </m:d>
          <m:r>
            <m:rPr>
              <m:sty m:val="p"/>
            </m:rPr>
            <m:t>,</m:t>
          </m:r>
          <m:r>
            <m:t> </m:t>
          </m:r>
          <m:sSub>
            <m:e>
              <m:r>
                <m:rPr>
                  <m:nor/>
                  <m:sty m:val="p"/>
                </m:rPr>
                <m:t>Week</m:t>
              </m:r>
            </m:e>
            <m:sub>
              <m:r>
                <m:rPr>
                  <m:sty m:val="p"/>
                </m:rPr>
                <m:t>cos</m:t>
              </m:r>
            </m:sub>
          </m:sSub>
          <m:r>
            <m:rPr>
              <m:sty m:val="p"/>
            </m:rPr>
            <m:t>=</m:t>
          </m:r>
          <m:r>
            <m:rPr>
              <m:sty m:val="p"/>
            </m:rPr>
            <m:t>cos</m:t>
          </m:r>
          <m:d>
            <m:dPr>
              <m:begChr m:val="("/>
              <m:sepChr m:val=""/>
              <m:endChr m:val=")"/>
              <m:grow/>
            </m:dPr>
            <m:e>
              <m:f>
                <m:fPr>
                  <m:type m:val="bar"/>
                </m:fPr>
                <m:num>
                  <m:r>
                    <m:t>2</m:t>
                  </m:r>
                  <m:r>
                    <m:t>π</m:t>
                  </m:r>
                  <m:r>
                    <m:rPr>
                      <m:sty m:val="p"/>
                    </m:rPr>
                    <m:t>×</m:t>
                  </m:r>
                  <m:r>
                    <m:rPr>
                      <m:nor/>
                      <m:sty m:val="p"/>
                    </m:rPr>
                    <m:t>Week</m:t>
                  </m:r>
                </m:num>
                <m:den>
                  <m:r>
                    <m:t>52.1775</m:t>
                  </m:r>
                </m:den>
              </m:f>
            </m:e>
          </m:d>
        </m:oMath>
      </m:oMathPara>
    </w:p>
    <w:p>
      <w:pPr>
        <w:pStyle w:val="SourceCode"/>
      </w:pPr>
      <w:r>
        <w:rPr>
          <w:rStyle w:val="VerbatimChar"/>
        </w:rPr>
        <w:t xml:space="preserve">Calendar Date ---&gt; Extract [Year, Month, Week] ---&gt; Cyclical Sine/Cosine Features</w:t>
      </w:r>
      <w:r>
        <w:br/>
      </w:r>
      <w:r>
        <w:rPr>
          <w:rStyle w:val="VerbatimChar"/>
        </w:rPr>
        <w:t xml:space="preserve">                |</w:t>
      </w:r>
      <w:r>
        <w:br/>
      </w:r>
      <w:r>
        <w:rPr>
          <w:rStyle w:val="VerbatimChar"/>
        </w:rPr>
        <w:t xml:space="preserve">                +-&gt; Identify Specific Holiday Events:</w:t>
      </w:r>
      <w:r>
        <w:br/>
      </w:r>
      <w:r>
        <w:rPr>
          <w:rStyle w:val="VerbatimChar"/>
        </w:rPr>
        <w:t xml:space="preserve">                    - Super Bowl (Week 6)</w:t>
      </w:r>
      <w:r>
        <w:br/>
      </w:r>
      <w:r>
        <w:rPr>
          <w:rStyle w:val="VerbatimChar"/>
        </w:rPr>
        <w:t xml:space="preserve">                    - Labor Day (Week 36)</w:t>
      </w:r>
      <w:r>
        <w:br/>
      </w:r>
      <w:r>
        <w:rPr>
          <w:rStyle w:val="VerbatimChar"/>
        </w:rPr>
        <w:t xml:space="preserve">                    - Thanksgiving (Week 47)</w:t>
      </w:r>
      <w:r>
        <w:br/>
      </w:r>
      <w:r>
        <w:rPr>
          <w:rStyle w:val="VerbatimChar"/>
        </w:rPr>
        <w:t xml:space="preserve">                    - Christmas (Week 51/52)</w:t>
      </w:r>
    </w:p>
    <w:p>
      <w:pPr>
        <w:pStyle w:val="FirstParagraph"/>
      </w:pPr>
      <w:r>
        <w:t xml:space="preserve">Furthermore, because consumer shopping surges occur in the days immediately preceding holidays, four dedicated binary event indicators were constructed to differentiate distinct promotional mechanisms (e.g., Thanksgiving Black Friday vs. Christmas clearance).</w:t>
      </w:r>
    </w:p>
    <w:p>
      <w:r>
        <w:br w:type="page"/>
      </w:r>
    </w:p>
    <w:bookmarkEnd w:id="28"/>
    <w:bookmarkStart w:id="32" w:name="X55b7bf3f40239b42b4703c5932bdcbca46d365e"/>
    <w:p>
      <w:pPr>
        <w:pStyle w:val="Heading3"/>
      </w:pPr>
      <w:r>
        <w:t xml:space="preserve">4.3 Autoregressive Lag &amp; Rolling Window Formulation</w:t>
      </w:r>
    </w:p>
    <w:p>
      <w:pPr>
        <w:pStyle w:val="FirstParagraph"/>
      </w:pPr>
      <w:r>
        <w:t xml:space="preserve">To capture temporal autocorrelation and momentum without causing data leakage, we formulate autoregressive lag and rolling window features strictly within store groupings:</w:t>
      </w:r>
      <w:r>
        <w:t xml:space="preserve"> </w:t>
      </w:r>
      <w:r>
        <w:t xml:space="preserve">1.</w:t>
      </w:r>
      <w:r>
        <w:t xml:space="preserve"> </w:t>
      </w:r>
      <w:r>
        <w:rPr>
          <w:b/>
          <w:bCs/>
        </w:rPr>
        <w:t xml:space="preserve">Autoregressive Lags (</w:t>
      </w:r>
      <m:oMath>
        <m:sSub>
          <m:e>
            <m:r>
              <m:t>y</m:t>
            </m:r>
          </m:e>
          <m:sub>
            <m:r>
              <m:t>t</m:t>
            </m:r>
            <m:r>
              <m:rPr>
                <m:sty m:val="p"/>
              </m:rPr>
              <m:t>−</m:t>
            </m:r>
            <m:r>
              <m:t>k</m:t>
            </m:r>
          </m:sub>
        </m:sSub>
      </m:oMath>
      <w:r>
        <w:rPr>
          <w:b/>
          <w:bCs/>
        </w:rPr>
        <w:t xml:space="preserve">)</w:t>
      </w:r>
      <w:r>
        <w:t xml:space="preserve">: Lags 1, 2, 3, 4, and 52 weeks were engineered. Lag 52 captures year-over-year seasonal memory.</w:t>
      </w:r>
      <w:r>
        <w:t xml:space="preserve"> </w:t>
      </w:r>
      <w:r>
        <w:t xml:space="preserve">2.</w:t>
      </w:r>
      <w:r>
        <w:t xml:space="preserve"> </w:t>
      </w:r>
      <w:r>
        <w:rPr>
          <w:b/>
          <w:bCs/>
        </w:rPr>
        <w:t xml:space="preserve">Rolling Window Statistics</w:t>
      </w:r>
      <w:r>
        <w:t xml:space="preserve">: Moving average and moving standard deviation over 4-week and 12-week windows. All rolling calculations were strictly shifted by 1 period (</w:t>
      </w:r>
      <m:oMath>
        <m:r>
          <m:rPr>
            <m:nor/>
            <m:sty m:val="p"/>
          </m:rPr>
          <m:t>shift</m:t>
        </m:r>
        <m:r>
          <m:rPr>
            <m:sty m:val="p"/>
          </m:rPr>
          <m:t>(</m:t>
        </m:r>
        <m:r>
          <m:t>1</m:t>
        </m:r>
        <m:r>
          <m:rPr>
            <m:sty m:val="p"/>
          </m:rPr>
          <m:t>)</m:t>
        </m:r>
      </m:oMath>
      <w:r>
        <w:t xml:space="preserve">) to guarantee that future target values do not leak into training matrices.</w:t>
      </w:r>
    </w:p>
    <w:p>
      <w:pPr>
        <w:pStyle w:val="CaptionedFigure"/>
      </w:pPr>
      <w:r>
        <w:drawing>
          <wp:inline>
            <wp:extent cx="1920240" cy="758283"/>
            <wp:effectExtent b="0" l="0" r="0" t="0"/>
            <wp:docPr descr="National Weekly Sales Trend with Annotated Holidays" title="" id="30" name="Picture"/>
            <a:graphic>
              <a:graphicData uri="http://schemas.openxmlformats.org/drawingml/2006/picture">
                <pic:pic>
                  <pic:nvPicPr>
                    <pic:cNvPr descr="../plots/02_aggregate_sales_trend_with_holidays.png" id="31" name="Picture"/>
                    <pic:cNvPicPr>
                      <a:picLocks noChangeArrowheads="1" noChangeAspect="1"/>
                    </pic:cNvPicPr>
                  </pic:nvPicPr>
                  <pic:blipFill>
                    <a:blip r:embed="rId29"/>
                    <a:stretch>
                      <a:fillRect/>
                    </a:stretch>
                  </pic:blipFill>
                  <pic:spPr bwMode="auto">
                    <a:xfrm>
                      <a:off x="0" y="0"/>
                      <a:ext cx="1920240" cy="758283"/>
                    </a:xfrm>
                    <a:prstGeom prst="rect">
                      <a:avLst/>
                    </a:prstGeom>
                    <a:noFill/>
                    <a:ln w="9525">
                      <a:noFill/>
                      <a:headEnd/>
                      <a:tailEnd/>
                    </a:ln>
                  </pic:spPr>
                </pic:pic>
              </a:graphicData>
            </a:graphic>
          </wp:inline>
        </w:drawing>
      </w:r>
    </w:p>
    <w:p>
      <w:pPr>
        <w:pStyle w:val="ImageCaption"/>
      </w:pPr>
      <w:r>
        <w:t xml:space="preserve">National Weekly Sales Trend with Annotated Holidays</w:t>
      </w:r>
    </w:p>
    <w:bookmarkEnd w:id="32"/>
    <w:bookmarkStart w:id="33" w:name="preprocessed-dataset-versioning-audit"/>
    <w:p>
      <w:pPr>
        <w:pStyle w:val="Heading3"/>
      </w:pPr>
      <w:r>
        <w:t xml:space="preserve">4.4 Preprocessed Dataset Versioning Audit</w:t>
      </w:r>
    </w:p>
    <w:p>
      <w:pPr>
        <w:pStyle w:val="FirstParagraph"/>
      </w:pPr>
      <w:r>
        <w:t xml:space="preserve">All transformed matrices were serialized into</w:t>
      </w:r>
      <w:r>
        <w:t xml:space="preserve"> </w:t>
      </w:r>
      <w:r>
        <w:rPr>
          <w:rStyle w:val="VerbatimChar"/>
        </w:rPr>
        <w:t xml:space="preserve">capstone_1_walmart/data_processed/</w:t>
      </w:r>
      <w:r>
        <w:t xml:space="preserve"> </w:t>
      </w:r>
      <w:r>
        <w:t xml:space="preserve">following strict semantic versioning:</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left"/>
            </w:pPr>
            <w:r>
              <w:t xml:space="preserve">Filename</w:t>
            </w:r>
          </w:p>
        </w:tc>
        <w:tc>
          <w:tcPr/>
          <w:p>
            <w:pPr>
              <w:pStyle w:val="Compact"/>
              <w:jc w:val="center"/>
            </w:pPr>
            <w:r>
              <w:t xml:space="preserve">Records</w:t>
            </w:r>
          </w:p>
        </w:tc>
        <w:tc>
          <w:tcPr/>
          <w:p>
            <w:pPr>
              <w:pStyle w:val="Compact"/>
              <w:jc w:val="center"/>
            </w:pPr>
            <w:r>
              <w:t xml:space="preserve">Features</w:t>
            </w:r>
          </w:p>
        </w:tc>
        <w:tc>
          <w:tcPr/>
          <w:p>
            <w:pPr>
              <w:pStyle w:val="Compact"/>
              <w:jc w:val="left"/>
            </w:pPr>
            <w:r>
              <w:t xml:space="preserve">Description &amp; Pipeline Role</w:t>
            </w:r>
          </w:p>
        </w:tc>
      </w:tr>
      <w:tr>
        <w:tc>
          <w:tcPr/>
          <w:p>
            <w:pPr>
              <w:pStyle w:val="Compact"/>
              <w:jc w:val="left"/>
            </w:pPr>
            <w:r>
              <w:rPr>
                <w:rStyle w:val="VerbatimChar"/>
              </w:rPr>
              <w:t xml:space="preserve">cleaned_panel-stage01.csv</w:t>
            </w:r>
          </w:p>
        </w:tc>
        <w:tc>
          <w:tcPr/>
          <w:p>
            <w:pPr>
              <w:pStyle w:val="Compact"/>
              <w:jc w:val="center"/>
            </w:pPr>
            <w:r>
              <w:t xml:space="preserve">6,435</w:t>
            </w:r>
          </w:p>
        </w:tc>
        <w:tc>
          <w:tcPr/>
          <w:p>
            <w:pPr>
              <w:pStyle w:val="Compact"/>
              <w:jc w:val="center"/>
            </w:pPr>
            <w:r>
              <w:t xml:space="preserve">8</w:t>
            </w:r>
          </w:p>
        </w:tc>
        <w:tc>
          <w:tcPr/>
          <w:p>
            <w:pPr>
              <w:pStyle w:val="Compact"/>
              <w:jc w:val="left"/>
            </w:pPr>
            <w:r>
              <w:t xml:space="preserve">Chronologically verified panel with validated weekly cadence</w:t>
            </w:r>
          </w:p>
        </w:tc>
      </w:tr>
      <w:tr>
        <w:tc>
          <w:tcPr/>
          <w:p>
            <w:pPr>
              <w:pStyle w:val="Compact"/>
              <w:jc w:val="left"/>
            </w:pPr>
            <w:r>
              <w:rPr>
                <w:rStyle w:val="VerbatimChar"/>
              </w:rPr>
              <w:t xml:space="preserve">engineered_features-train01.csv</w:t>
            </w:r>
          </w:p>
        </w:tc>
        <w:tc>
          <w:tcPr/>
          <w:p>
            <w:pPr>
              <w:pStyle w:val="Compact"/>
              <w:jc w:val="center"/>
            </w:pPr>
            <w:r>
              <w:t xml:space="preserve">5,895</w:t>
            </w:r>
          </w:p>
        </w:tc>
        <w:tc>
          <w:tcPr/>
          <w:p>
            <w:pPr>
              <w:pStyle w:val="Compact"/>
              <w:jc w:val="center"/>
            </w:pPr>
            <w:r>
              <w:t xml:space="preserve">23</w:t>
            </w:r>
          </w:p>
        </w:tc>
        <w:tc>
          <w:tcPr/>
          <w:p>
            <w:pPr>
              <w:pStyle w:val="Compact"/>
              <w:jc w:val="left"/>
            </w:pPr>
            <w:r>
              <w:t xml:space="preserve">Training feature matrix with autoregressive lags &amp; cyclical terms</w:t>
            </w:r>
          </w:p>
        </w:tc>
      </w:tr>
      <w:tr>
        <w:tc>
          <w:tcPr/>
          <w:p>
            <w:pPr>
              <w:pStyle w:val="Compact"/>
              <w:jc w:val="left"/>
            </w:pPr>
            <w:r>
              <w:rPr>
                <w:rStyle w:val="VerbatimChar"/>
              </w:rPr>
              <w:t xml:space="preserve">engineered_features-test01.csv</w:t>
            </w:r>
          </w:p>
        </w:tc>
        <w:tc>
          <w:tcPr/>
          <w:p>
            <w:pPr>
              <w:pStyle w:val="Compact"/>
              <w:jc w:val="center"/>
            </w:pPr>
            <w:r>
              <w:t xml:space="preserve">540</w:t>
            </w:r>
          </w:p>
        </w:tc>
        <w:tc>
          <w:tcPr/>
          <w:p>
            <w:pPr>
              <w:pStyle w:val="Compact"/>
              <w:jc w:val="center"/>
            </w:pPr>
            <w:r>
              <w:t xml:space="preserve">23</w:t>
            </w:r>
          </w:p>
        </w:tc>
        <w:tc>
          <w:tcPr/>
          <w:p>
            <w:pPr>
              <w:pStyle w:val="Compact"/>
              <w:jc w:val="left"/>
            </w:pPr>
            <w:r>
              <w:t xml:space="preserve">12-week evaluation holdout matrix with identical schema</w:t>
            </w:r>
          </w:p>
        </w:tc>
      </w:tr>
      <w:tr>
        <w:tc>
          <w:tcPr/>
          <w:p>
            <w:pPr>
              <w:pStyle w:val="Compact"/>
              <w:jc w:val="left"/>
            </w:pPr>
            <w:r>
              <w:rPr>
                <w:rStyle w:val="VerbatimChar"/>
              </w:rPr>
              <w:t xml:space="preserve">forward_12week-forecast01.csv</w:t>
            </w:r>
          </w:p>
        </w:tc>
        <w:tc>
          <w:tcPr/>
          <w:p>
            <w:pPr>
              <w:pStyle w:val="Compact"/>
              <w:jc w:val="center"/>
            </w:pPr>
            <w:r>
              <w:t xml:space="preserve">540</w:t>
            </w:r>
          </w:p>
        </w:tc>
        <w:tc>
          <w:tcPr/>
          <w:p>
            <w:pPr>
              <w:pStyle w:val="Compact"/>
              <w:jc w:val="center"/>
            </w:pPr>
            <w:r>
              <w:t xml:space="preserve">6</w:t>
            </w:r>
          </w:p>
        </w:tc>
        <w:tc>
          <w:tcPr/>
          <w:p>
            <w:pPr>
              <w:pStyle w:val="Compact"/>
              <w:jc w:val="left"/>
            </w:pPr>
            <w:r>
              <w:t xml:space="preserve">Forward 12-week projections with calibrated 90% prediction intervals</w:t>
            </w:r>
          </w:p>
        </w:tc>
      </w:tr>
    </w:tbl>
    <w:p>
      <w:r>
        <w:br w:type="page"/>
      </w:r>
    </w:p>
    <w:bookmarkEnd w:id="33"/>
    <w:bookmarkEnd w:id="34"/>
    <w:bookmarkStart w:id="37" w:name="choosing-the-algorithm-for-the-project"/>
    <w:p>
      <w:pPr>
        <w:pStyle w:val="Heading1"/>
      </w:pPr>
      <w:r>
        <w:t xml:space="preserve">5. Choosing the Algorithm for the Project</w:t>
      </w:r>
    </w:p>
    <w:bookmarkStart w:id="35" w:name="Xebb197e2bc68e6124c16f0f040cd94fa38bb874"/>
    <w:p>
      <w:pPr>
        <w:pStyle w:val="Heading3"/>
      </w:pPr>
      <w:r>
        <w:t xml:space="preserve">5.1 Algorithmic Taxonomy &amp; Model Selection Rationale</w:t>
      </w:r>
    </w:p>
    <w:p>
      <w:pPr>
        <w:pStyle w:val="FirstParagraph"/>
      </w:pPr>
      <w:r>
        <w:t xml:space="preserve">To ensure methodological rigor, we evaluate five competing algorithmic families spanning naive heuristics, classical parametric econometrics, additive curve fitting, and modern tree-based ensembles: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Family</w:t>
            </w:r>
          </w:p>
        </w:tc>
        <w:tc>
          <w:tcPr/>
          <w:p>
            <w:pPr>
              <w:pStyle w:val="Compact"/>
              <w:jc w:val="left"/>
            </w:pPr>
            <w:r>
              <w:t xml:space="preserve">Model Candidate</w:t>
            </w:r>
          </w:p>
        </w:tc>
        <w:tc>
          <w:tcPr/>
          <w:p>
            <w:pPr>
              <w:pStyle w:val="Compact"/>
              <w:jc w:val="left"/>
            </w:pPr>
            <w:r>
              <w:t xml:space="preserve">Primary Strength</w:t>
            </w:r>
          </w:p>
        </w:tc>
        <w:tc>
          <w:tcPr/>
          <w:p>
            <w:pPr>
              <w:pStyle w:val="Compact"/>
              <w:jc w:val="left"/>
            </w:pPr>
            <w:r>
              <w:t xml:space="preserve">Critical Operational Limitation</w:t>
            </w:r>
          </w:p>
        </w:tc>
      </w:tr>
      <w:tr>
        <w:tc>
          <w:tcPr/>
          <w:p>
            <w:pPr>
              <w:pStyle w:val="Compact"/>
              <w:jc w:val="left"/>
            </w:pPr>
            <w:r>
              <w:rPr>
                <w:b/>
                <w:bCs/>
              </w:rPr>
              <w:t xml:space="preserve">Heuristic</w:t>
            </w:r>
          </w:p>
        </w:tc>
        <w:tc>
          <w:tcPr/>
          <w:p>
            <w:pPr>
              <w:pStyle w:val="Compact"/>
              <w:jc w:val="left"/>
            </w:pPr>
            <w:r>
              <w:t xml:space="preserve">Naive Persistence (Lag 1)</w:t>
            </w:r>
          </w:p>
        </w:tc>
        <w:tc>
          <w:tcPr/>
          <w:p>
            <w:pPr>
              <w:pStyle w:val="Compact"/>
              <w:jc w:val="left"/>
            </w:pPr>
            <w:r>
              <w:t xml:space="preserve">Zero training required; baseline floor</w:t>
            </w:r>
          </w:p>
        </w:tc>
        <w:tc>
          <w:tcPr/>
          <w:p>
            <w:pPr>
              <w:pStyle w:val="Compact"/>
              <w:jc w:val="left"/>
            </w:pPr>
            <w:r>
              <w:t xml:space="preserve">Cannot anticipate holiday spikes or macro shifts</w:t>
            </w:r>
          </w:p>
        </w:tc>
      </w:tr>
      <w:tr>
        <w:tc>
          <w:tcPr/>
          <w:p>
            <w:pPr>
              <w:pStyle w:val="Compact"/>
              <w:jc w:val="left"/>
            </w:pPr>
            <w:r>
              <w:rPr>
                <w:b/>
                <w:bCs/>
              </w:rPr>
              <w:t xml:space="preserve">Econometric</w:t>
            </w:r>
          </w:p>
        </w:tc>
        <w:tc>
          <w:tcPr/>
          <w:p>
            <w:pPr>
              <w:pStyle w:val="Compact"/>
              <w:jc w:val="left"/>
            </w:pPr>
            <w:r>
              <w:t xml:space="preserve">SARIMAX</w:t>
            </w:r>
            <m:oMath>
              <m:r>
                <m:rPr>
                  <m:sty m:val="p"/>
                </m:rPr>
                <m:t>(</m:t>
              </m:r>
              <m:r>
                <m:t>1</m:t>
              </m:r>
              <m:r>
                <m:rPr>
                  <m:sty m:val="p"/>
                </m:rPr>
                <m:t>,</m:t>
              </m:r>
              <m:r>
                <m:t>1</m:t>
              </m:r>
              <m:r>
                <m:rPr>
                  <m:sty m:val="p"/>
                </m:rPr>
                <m:t>,</m:t>
              </m:r>
              <m:r>
                <m:t>1</m:t>
              </m:r>
              <m:r>
                <m:rPr>
                  <m:sty m:val="p"/>
                </m:rPr>
                <m:t>)</m:t>
              </m:r>
              <m:r>
                <m:rPr>
                  <m:sty m:val="p"/>
                </m:rPr>
                <m:t>×</m:t>
              </m:r>
              <m:r>
                <m:rPr>
                  <m:sty m:val="p"/>
                </m:rPr>
                <m:t>(</m:t>
              </m:r>
              <m:r>
                <m:t>1</m:t>
              </m:r>
              <m:r>
                <m:rPr>
                  <m:sty m:val="p"/>
                </m:rPr>
                <m:t>,</m:t>
              </m:r>
              <m:r>
                <m:t>1</m:t>
              </m:r>
              <m:r>
                <m:rPr>
                  <m:sty m:val="p"/>
                </m:rPr>
                <m:t>,</m:t>
              </m:r>
              <m:r>
                <m:t>0</m:t>
              </m:r>
              <m:sSub>
                <m:e>
                  <m:r>
                    <m:rPr>
                      <m:sty m:val="p"/>
                    </m:rPr>
                    <m:t>)</m:t>
                  </m:r>
                </m:e>
                <m:sub>
                  <m:r>
                    <m:t>52</m:t>
                  </m:r>
                </m:sub>
              </m:sSub>
            </m:oMath>
          </w:p>
        </w:tc>
        <w:tc>
          <w:tcPr/>
          <w:p>
            <w:pPr>
              <w:pStyle w:val="Compact"/>
              <w:jc w:val="left"/>
            </w:pPr>
            <w:r>
              <w:t xml:space="preserve">Statistical confidence intervals</w:t>
            </w:r>
          </w:p>
        </w:tc>
        <w:tc>
          <w:tcPr/>
          <w:p>
            <w:pPr>
              <w:pStyle w:val="Compact"/>
              <w:jc w:val="left"/>
            </w:pPr>
            <w:r>
              <w:t xml:space="preserve">Linear assumption; slow multi-store scaling (</w:t>
            </w:r>
            <m:oMath>
              <m:r>
                <m:rPr>
                  <m:scr m:val="script"/>
                  <m:sty m:val="p"/>
                </m:rPr>
                <m:t>O</m:t>
              </m:r>
              <m:r>
                <m:rPr>
                  <m:sty m:val="p"/>
                </m:rPr>
                <m:t>(</m:t>
              </m:r>
              <m:r>
                <m:t>N</m:t>
              </m:r>
              <m:r>
                <m:rPr>
                  <m:sty m:val="p"/>
                </m:rPr>
                <m:t>)</m:t>
              </m:r>
            </m:oMath>
            <w:r>
              <w:t xml:space="preserve">)</w:t>
            </w:r>
          </w:p>
        </w:tc>
      </w:tr>
      <w:tr>
        <w:tc>
          <w:tcPr/>
          <w:p>
            <w:pPr>
              <w:pStyle w:val="Compact"/>
              <w:jc w:val="left"/>
            </w:pPr>
            <w:r>
              <w:rPr>
                <w:b/>
                <w:bCs/>
              </w:rPr>
              <w:t xml:space="preserve">Additive</w:t>
            </w:r>
          </w:p>
        </w:tc>
        <w:tc>
          <w:tcPr/>
          <w:p>
            <w:pPr>
              <w:pStyle w:val="Compact"/>
              <w:jc w:val="left"/>
            </w:pPr>
            <w:r>
              <w:t xml:space="preserve">Facebook Prophet</w:t>
            </w:r>
          </w:p>
        </w:tc>
        <w:tc>
          <w:tcPr/>
          <w:p>
            <w:pPr>
              <w:pStyle w:val="Compact"/>
              <w:jc w:val="left"/>
            </w:pPr>
            <w:r>
              <w:t xml:space="preserve">Decomposes trend, holiday, seasonal terms</w:t>
            </w:r>
          </w:p>
        </w:tc>
        <w:tc>
          <w:tcPr/>
          <w:p>
            <w:pPr>
              <w:pStyle w:val="Compact"/>
              <w:jc w:val="left"/>
            </w:pPr>
            <w:r>
              <w:t xml:space="preserve">Struggles with sharp single-week promotional shocks</w:t>
            </w:r>
          </w:p>
        </w:tc>
      </w:tr>
      <w:tr>
        <w:tc>
          <w:tcPr/>
          <w:p>
            <w:pPr>
              <w:pStyle w:val="Compact"/>
              <w:jc w:val="left"/>
            </w:pPr>
            <w:r>
              <w:rPr>
                <w:b/>
                <w:bCs/>
              </w:rPr>
              <w:t xml:space="preserve">Bagging</w:t>
            </w:r>
          </w:p>
        </w:tc>
        <w:tc>
          <w:tcPr/>
          <w:p>
            <w:pPr>
              <w:pStyle w:val="Compact"/>
              <w:jc w:val="left"/>
            </w:pPr>
            <w:r>
              <w:t xml:space="preserve">Random Forest Regressor</w:t>
            </w:r>
          </w:p>
        </w:tc>
        <w:tc>
          <w:tcPr/>
          <w:p>
            <w:pPr>
              <w:pStyle w:val="Compact"/>
              <w:jc w:val="left"/>
            </w:pPr>
            <w:r>
              <w:t xml:space="preserve">Robust to overfitting; captures non-linearities</w:t>
            </w:r>
          </w:p>
        </w:tc>
        <w:tc>
          <w:tcPr/>
          <w:p>
            <w:pPr>
              <w:pStyle w:val="Compact"/>
              <w:jc w:val="left"/>
            </w:pPr>
            <w:r>
              <w:t xml:space="preserve">Large memory footprint; cannot extrapolate trends</w:t>
            </w:r>
          </w:p>
        </w:tc>
      </w:tr>
      <w:tr>
        <w:tc>
          <w:tcPr/>
          <w:p>
            <w:pPr>
              <w:pStyle w:val="Compact"/>
              <w:jc w:val="left"/>
            </w:pPr>
            <w:r>
              <w:rPr>
                <w:b/>
                <w:bCs/>
              </w:rPr>
              <w:t xml:space="preserve">Boosting</w:t>
            </w:r>
          </w:p>
        </w:tc>
        <w:tc>
          <w:tcPr/>
          <w:p>
            <w:pPr>
              <w:pStyle w:val="Compact"/>
              <w:jc w:val="left"/>
            </w:pPr>
            <w:r>
              <w:t xml:space="preserve">Tuned Champion XGBoost</w:t>
            </w:r>
          </w:p>
        </w:tc>
        <w:tc>
          <w:tcPr/>
          <w:p>
            <w:pPr>
              <w:pStyle w:val="Compact"/>
              <w:jc w:val="left"/>
            </w:pPr>
            <w:r>
              <w:t xml:space="preserve">Second-order loss gradients; high accuracy</w:t>
            </w:r>
          </w:p>
        </w:tc>
        <w:tc>
          <w:tcPr/>
          <w:p>
            <w:pPr>
              <w:pStyle w:val="Compact"/>
              <w:jc w:val="left"/>
            </w:pPr>
            <w:r>
              <w:t xml:space="preserve">Requires rigorous hyperparameter regularization tuning</w:t>
            </w:r>
          </w:p>
        </w:tc>
      </w:tr>
    </w:tbl>
    <w:bookmarkEnd w:id="35"/>
    <w:bookmarkStart w:id="36" w:name="comparative-candidate-formulations"/>
    <w:p>
      <w:pPr>
        <w:pStyle w:val="Heading3"/>
      </w:pPr>
      <w:r>
        <w:t xml:space="preserve">5.2 Comparative Candidate Formulations</w:t>
      </w:r>
    </w:p>
    <w:p>
      <w:pPr>
        <w:pStyle w:val="Compact"/>
        <w:numPr>
          <w:ilvl w:val="0"/>
          <w:numId w:val="1001"/>
        </w:numPr>
      </w:pPr>
      <w:r>
        <w:rPr>
          <w:b/>
          <w:bCs/>
        </w:rPr>
        <w:t xml:space="preserve">Model 1: Naive Persistence Baseline</w:t>
      </w:r>
      <w:r>
        <w:t xml:space="preserve">:</w:t>
      </w:r>
      <w:r>
        <w:t xml:space="preserve"> </w:t>
      </w:r>
      <m:oMath>
        <m:sSub>
          <m:e>
            <m:acc>
              <m:accPr>
                <m:chr m:val="̂"/>
              </m:accPr>
              <m:e>
                <m:r>
                  <m:t>y</m:t>
                </m:r>
              </m:e>
            </m:acc>
          </m:e>
          <m:sub>
            <m:r>
              <m:t>s</m:t>
            </m:r>
            <m:r>
              <m:rPr>
                <m:sty m:val="p"/>
              </m:rPr>
              <m:t>,</m:t>
            </m:r>
            <m:r>
              <m:t>t</m:t>
            </m:r>
          </m:sub>
        </m:sSub>
        <m:r>
          <m:rPr>
            <m:sty m:val="p"/>
          </m:rPr>
          <m:t>=</m:t>
        </m:r>
        <m:sSub>
          <m:e>
            <m:r>
              <m:t>y</m:t>
            </m:r>
          </m:e>
          <m:sub>
            <m:r>
              <m:t>s</m:t>
            </m:r>
            <m:r>
              <m:rPr>
                <m:sty m:val="p"/>
              </m:rPr>
              <m:t>,</m:t>
            </m:r>
            <m:r>
              <m:t>t</m:t>
            </m:r>
            <m:r>
              <m:rPr>
                <m:sty m:val="p"/>
              </m:rPr>
              <m:t>−</m:t>
            </m:r>
            <m:r>
              <m:t>1</m:t>
            </m:r>
          </m:sub>
        </m:sSub>
      </m:oMath>
      <w:r>
        <w:t xml:space="preserve">. Establishes the empirical floor for performance.</w:t>
      </w:r>
    </w:p>
    <w:p>
      <w:pPr>
        <w:pStyle w:val="Compact"/>
        <w:numPr>
          <w:ilvl w:val="0"/>
          <w:numId w:val="1001"/>
        </w:numPr>
      </w:pPr>
      <w:r>
        <w:rPr>
          <w:b/>
          <w:bCs/>
        </w:rPr>
        <w:t xml:space="preserve">Model 2: Classical SARIMAX</w:t>
      </w:r>
      <w:r>
        <w:t xml:space="preserve">: Parametric autoregressive integrated moving average with 52-week seasonal lag and exogenous macroeconomic regressors.</w:t>
      </w:r>
    </w:p>
    <w:p>
      <w:pPr>
        <w:pStyle w:val="Compact"/>
        <w:numPr>
          <w:ilvl w:val="0"/>
          <w:numId w:val="1001"/>
        </w:numPr>
      </w:pPr>
      <w:r>
        <w:rPr>
          <w:b/>
          <w:bCs/>
        </w:rPr>
        <w:t xml:space="preserve">Model 3: Facebook Prophet</w:t>
      </w:r>
      <w:r>
        <w:t xml:space="preserve">: Non-linear decomposable additive model:</w:t>
      </w:r>
      <w:r>
        <w:t xml:space="preserve"> </w:t>
      </w:r>
      <w:r>
        <w:t xml:space="preserve">$y(t) = g(t) + s(t) + h(t) + \sum \beta_k X_k(t) + \\epsilon_t$</w:t>
      </w:r>
      <w:r>
        <w:t xml:space="preserve">, fitted via Bayesian regression.</w:t>
      </w:r>
    </w:p>
    <w:p>
      <w:pPr>
        <w:pStyle w:val="Compact"/>
        <w:numPr>
          <w:ilvl w:val="0"/>
          <w:numId w:val="1001"/>
        </w:numPr>
      </w:pPr>
      <w:r>
        <w:rPr>
          <w:b/>
          <w:bCs/>
        </w:rPr>
        <w:t xml:space="preserve">Model 4: Random Forest Regressor</w:t>
      </w:r>
      <w:r>
        <w:t xml:space="preserve">: Ensembling 200 de-correlated regression trees trained on bootstrap samples and random feature subsets.</w:t>
      </w:r>
    </w:p>
    <w:p>
      <w:pPr>
        <w:pStyle w:val="Compact"/>
        <w:numPr>
          <w:ilvl w:val="0"/>
          <w:numId w:val="1001"/>
        </w:numPr>
      </w:pPr>
      <w:r>
        <w:rPr>
          <w:b/>
          <w:bCs/>
        </w:rPr>
        <w:t xml:space="preserve">Model 5: Tuned Champion XGBoost</w:t>
      </w:r>
      <w:r>
        <w:t xml:space="preserve">: Optimized gradient boosted decision tree ensemble minimizing regularized objective</w:t>
      </w:r>
      <w:r>
        <w:t xml:space="preserve"> </w:t>
      </w:r>
      <m:oMath>
        <m:r>
          <m:rPr>
            <m:scr m:val="script"/>
            <m:sty m:val="p"/>
          </m:rPr>
          <m:t>L</m:t>
        </m:r>
        <m:r>
          <m:rPr>
            <m:sty m:val="p"/>
          </m:rPr>
          <m:t>=</m:t>
        </m:r>
        <m:r>
          <m:rPr>
            <m:sty m:val="p"/>
          </m:rPr>
          <m:t>∑</m:t>
        </m:r>
        <m:r>
          <m:t>l</m:t>
        </m:r>
        <m:r>
          <m:rPr>
            <m:sty m:val="p"/>
          </m:rPr>
          <m:t>(</m:t>
        </m:r>
        <m:sSub>
          <m:e>
            <m:r>
              <m:t>y</m:t>
            </m:r>
          </m:e>
          <m:sub>
            <m:r>
              <m:t>i</m:t>
            </m:r>
          </m:sub>
        </m:sSub>
        <m:r>
          <m:rPr>
            <m:sty m:val="p"/>
          </m:rPr>
          <m:t>,</m:t>
        </m:r>
        <m:sSub>
          <m:e>
            <m:acc>
              <m:accPr>
                <m:chr m:val="̂"/>
              </m:accPr>
              <m:e>
                <m:r>
                  <m:t>y</m:t>
                </m:r>
              </m:e>
            </m:acc>
          </m:e>
          <m:sub>
            <m:r>
              <m:t>i</m:t>
            </m:r>
          </m:sub>
        </m:sSub>
        <m:r>
          <m:rPr>
            <m:sty m:val="p"/>
          </m:rPr>
          <m:t>)</m:t>
        </m:r>
        <m:r>
          <m:rPr>
            <m:sty m:val="p"/>
          </m:rPr>
          <m:t>+</m:t>
        </m:r>
        <m:r>
          <m:rPr>
            <m:sty m:val="p"/>
          </m:rPr>
          <m:t>∑</m:t>
        </m:r>
        <m:r>
          <m:rPr>
            <m:sty m:val="p"/>
          </m:rPr>
          <m:t>Ω</m:t>
        </m:r>
        <m:r>
          <m:rPr>
            <m:sty m:val="p"/>
          </m:rPr>
          <m:t>(</m:t>
        </m:r>
        <m:sSub>
          <m:e>
            <m:r>
              <m:t>f</m:t>
            </m:r>
          </m:e>
          <m:sub>
            <m:r>
              <m:t>k</m:t>
            </m:r>
          </m:sub>
        </m:sSub>
        <m:r>
          <m:rPr>
            <m:sty m:val="p"/>
          </m:rPr>
          <m:t>)</m:t>
        </m:r>
      </m:oMath>
      <w:r>
        <w:t xml:space="preserve">.</w:t>
      </w:r>
    </w:p>
    <w:p>
      <w:r>
        <w:br w:type="page"/>
      </w:r>
    </w:p>
    <w:bookmarkEnd w:id="36"/>
    <w:bookmarkEnd w:id="37"/>
    <w:bookmarkStart w:id="44" w:name="Xa21a25f99d4b6b82c6ec84d4a344bb17eb7b6f7"/>
    <w:p>
      <w:pPr>
        <w:pStyle w:val="Heading1"/>
      </w:pPr>
      <w:r>
        <w:t xml:space="preserve">6. Motivation and Reasons For Choosing the Algorithm</w:t>
      </w:r>
    </w:p>
    <w:bookmarkStart w:id="41" w:name="X89875eb8dd32bc4d478ec58b373a53be7972724"/>
    <w:p>
      <w:pPr>
        <w:pStyle w:val="Heading3"/>
      </w:pPr>
      <w:r>
        <w:t xml:space="preserve">6.1 Algorithmic Superiority of Extreme Gradient Boosting (XGBoost)</w:t>
      </w:r>
    </w:p>
    <w:p>
      <w:pPr>
        <w:pStyle w:val="FirstParagraph"/>
      </w:pPr>
      <w:r>
        <w:t xml:space="preserve">Extreme Gradient Boosting (XGBoost) was chosen as the champion production algorithm based on three architectural advantages:</w:t>
      </w:r>
      <w:r>
        <w:t xml:space="preserve"> </w:t>
      </w:r>
      <w:r>
        <w:t xml:space="preserve">1.</w:t>
      </w:r>
      <w:r>
        <w:t xml:space="preserve"> </w:t>
      </w:r>
      <w:r>
        <w:rPr>
          <w:b/>
          <w:bCs/>
        </w:rPr>
        <w:t xml:space="preserve">Second-Order Loss Optimization</w:t>
      </w:r>
      <w:r>
        <w:t xml:space="preserve">: XGBoost utilizes second-order Taylor expansions of the objective function, computing both gradients (</w:t>
      </w:r>
      <m:oMath>
        <m:sSub>
          <m:e>
            <m:r>
              <m:t>g</m:t>
            </m:r>
          </m:e>
          <m:sub>
            <m:r>
              <m:t>i</m:t>
            </m:r>
          </m:sub>
        </m:sSub>
      </m:oMath>
      <w:r>
        <w:t xml:space="preserve">) and Hessians (</w:t>
      </w:r>
      <m:oMath>
        <m:sSub>
          <m:e>
            <m:r>
              <m:t>h</m:t>
            </m:r>
          </m:e>
          <m:sub>
            <m:r>
              <m:t>i</m:t>
            </m:r>
          </m:sub>
        </m:sSub>
      </m:oMath>
      <w:r>
        <w:t xml:space="preserve">) for rapid, exact convergence.</w:t>
      </w:r>
      <w:r>
        <w:t xml:space="preserve"> </w:t>
      </w:r>
      <w:r>
        <w:t xml:space="preserve">2.</w:t>
      </w:r>
      <w:r>
        <w:t xml:space="preserve"> </w:t>
      </w:r>
      <w:r>
        <w:rPr>
          <w:b/>
          <w:bCs/>
        </w:rPr>
        <w:t xml:space="preserve">Integrated Regularization Penalties</w:t>
      </w:r>
      <w:r>
        <w:t xml:space="preserve">: Built-in</w:t>
      </w:r>
      <w:r>
        <w:t xml:space="preserve"> </w:t>
      </w:r>
      <m:oMath>
        <m:sSub>
          <m:e>
            <m:r>
              <m:t>L</m:t>
            </m:r>
          </m:e>
          <m:sub>
            <m:r>
              <m:t>1</m:t>
            </m:r>
          </m:sub>
        </m:sSub>
      </m:oMath>
      <w:r>
        <w:t xml:space="preserve"> </w:t>
      </w:r>
      <w:r>
        <w:t xml:space="preserve">(Lasso,</w:t>
      </w:r>
      <w:r>
        <w:t xml:space="preserve"> </w:t>
      </w:r>
      <m:oMath>
        <m:r>
          <m:t>α</m:t>
        </m:r>
      </m:oMath>
      <w:r>
        <w:t xml:space="preserve">) and</w:t>
      </w:r>
      <w:r>
        <w:t xml:space="preserve"> </w:t>
      </w:r>
      <m:oMath>
        <m:sSub>
          <m:e>
            <m:r>
              <m:t>L</m:t>
            </m:r>
          </m:e>
          <m:sub>
            <m:r>
              <m:t>2</m:t>
            </m:r>
          </m:sub>
        </m:sSub>
      </m:oMath>
      <w:r>
        <w:t xml:space="preserve"> </w:t>
      </w:r>
      <w:r>
        <w:t xml:space="preserve">(Ridge,</w:t>
      </w:r>
      <w:r>
        <w:t xml:space="preserve"> </w:t>
      </w:r>
      <m:oMath>
        <m:r>
          <m:t>λ</m:t>
        </m:r>
      </m:oMath>
      <w:r>
        <w:t xml:space="preserve">) leaf penalties prevent overfitting to localized store noise.</w:t>
      </w:r>
      <w:r>
        <w:t xml:space="preserve"> </w:t>
      </w:r>
      <w:r>
        <w:t xml:space="preserve">3.</w:t>
      </w:r>
      <w:r>
        <w:t xml:space="preserve"> </w:t>
      </w:r>
      <w:r>
        <w:rPr>
          <w:b/>
          <w:bCs/>
        </w:rPr>
        <w:t xml:space="preserve">Multi-Feature Interaction Depth</w:t>
      </w:r>
      <w:r>
        <w:t xml:space="preserve">: High-order interactions between holiday flags, temperature, and store volume tiers are natively captured without manual feature multiplication.</w:t>
      </w:r>
    </w:p>
    <w:p>
      <w:pPr>
        <w:pStyle w:val="CaptionedFigure"/>
      </w:pPr>
      <w:r>
        <w:drawing>
          <wp:inline>
            <wp:extent cx="2560320" cy="2039439"/>
            <wp:effectExtent b="0" l="0" r="0" t="0"/>
            <wp:docPr descr="Macroeconomic Feature Correlations with Weekly Sales" title="" id="39" name="Picture"/>
            <a:graphic>
              <a:graphicData uri="http://schemas.openxmlformats.org/drawingml/2006/picture">
                <pic:pic>
                  <pic:nvPicPr>
                    <pic:cNvPr descr="../plots/04_macro_correlation_heatmap.png" id="40" name="Picture"/>
                    <pic:cNvPicPr>
                      <a:picLocks noChangeArrowheads="1" noChangeAspect="1"/>
                    </pic:cNvPicPr>
                  </pic:nvPicPr>
                  <pic:blipFill>
                    <a:blip r:embed="rId38"/>
                    <a:stretch>
                      <a:fillRect/>
                    </a:stretch>
                  </pic:blipFill>
                  <pic:spPr bwMode="auto">
                    <a:xfrm>
                      <a:off x="0" y="0"/>
                      <a:ext cx="2560320" cy="2039439"/>
                    </a:xfrm>
                    <a:prstGeom prst="rect">
                      <a:avLst/>
                    </a:prstGeom>
                    <a:noFill/>
                    <a:ln w="9525">
                      <a:noFill/>
                      <a:headEnd/>
                      <a:tailEnd/>
                    </a:ln>
                  </pic:spPr>
                </pic:pic>
              </a:graphicData>
            </a:graphic>
          </wp:inline>
        </w:drawing>
      </w:r>
    </w:p>
    <w:p>
      <w:pPr>
        <w:pStyle w:val="ImageCaption"/>
      </w:pPr>
      <w:r>
        <w:t xml:space="preserve">Macroeconomic Feature Correlations with Weekly Sales</w:t>
      </w:r>
    </w:p>
    <w:bookmarkEnd w:id="41"/>
    <w:bookmarkStart w:id="42" w:name="Xba784846c96640ee03f0c959c4f5d7ec32170a9"/>
    <w:p>
      <w:pPr>
        <w:pStyle w:val="Heading3"/>
      </w:pPr>
      <w:r>
        <w:t xml:space="preserve">6.2 Non-Linear Macroeconomic Threshold Detection</w:t>
      </w:r>
    </w:p>
    <w:p>
      <w:pPr>
        <w:pStyle w:val="FirstParagraph"/>
      </w:pPr>
      <w:r>
        <w:t xml:space="preserve">As shown in the correlation matrix above, macroeconomic indicators exhibit weak global linear correlations with sales (</w:t>
      </w:r>
      <m:oMath>
        <m:r>
          <m:t>r</m:t>
        </m:r>
        <m:r>
          <m:rPr>
            <m:sty m:val="p"/>
          </m:rPr>
          <m:t>=</m:t>
        </m:r>
        <m:r>
          <m:rPr>
            <m:sty m:val="p"/>
          </m:rPr>
          <m:t>−</m:t>
        </m:r>
        <m:r>
          <m:t>0.06</m:t>
        </m:r>
      </m:oMath>
      <w:r>
        <w:t xml:space="preserve"> </w:t>
      </w:r>
      <w:r>
        <w:t xml:space="preserve">to</w:t>
      </w:r>
      <w:r>
        <w:t xml:space="preserve"> </w:t>
      </w:r>
      <m:oMath>
        <m:r>
          <m:rPr>
            <m:sty m:val="p"/>
          </m:rPr>
          <m:t>−</m:t>
        </m:r>
        <m:r>
          <m:t>0.09</m:t>
        </m:r>
      </m:oMath>
      <w:r>
        <w:t xml:space="preserve">), yet have non-linear threshold effects (e.g., fuel price shocks impacting discretionary spend). Tree-based recursive partitioning isolates these regime shifts effortlessly.</w:t>
      </w:r>
    </w:p>
    <w:bookmarkEnd w:id="42"/>
    <w:bookmarkStart w:id="43" w:name="Xc89ada184ef814f8219db7274d59b723729ba53"/>
    <w:p>
      <w:pPr>
        <w:pStyle w:val="Heading3"/>
      </w:pPr>
      <w:r>
        <w:t xml:space="preserve">6.3 Operational Deployment &amp; Low-Latency Execution</w:t>
      </w:r>
    </w:p>
    <w:p>
      <w:pPr>
        <w:pStyle w:val="FirstParagraph"/>
      </w:pPr>
      <w:r>
        <w:t xml:space="preserve">In production retail replenishment, scoring 45 stores across a 12-week horizon must execute in sub-second inference time. The trained XGBoost model serializes to a lightweight</w:t>
      </w:r>
      <w:r>
        <w:t xml:space="preserve"> </w:t>
      </w:r>
      <w:r>
        <w:rPr>
          <w:b/>
          <w:bCs/>
        </w:rPr>
        <w:t xml:space="preserve">685 KB</w:t>
      </w:r>
      <w:r>
        <w:t xml:space="preserve"> </w:t>
      </w:r>
      <w:r>
        <w:t xml:space="preserve">footprint (</w:t>
      </w:r>
      <w:r>
        <w:rPr>
          <w:rStyle w:val="VerbatimChar"/>
        </w:rPr>
        <w:t xml:space="preserve">capstone_1_walmart/models/walmart_xgboost_champion.joblib</w:t>
      </w:r>
      <w:r>
        <w:t xml:space="preserve">), executing multi-store inference in</w:t>
      </w:r>
      <w:r>
        <w:t xml:space="preserve"> </w:t>
      </w:r>
      <w:r>
        <w:rPr>
          <w:b/>
          <w:bCs/>
        </w:rPr>
        <w:t xml:space="preserve">&lt;15 milliseconds</w:t>
      </w:r>
      <w:r>
        <w:t xml:space="preserve">.</w:t>
      </w:r>
    </w:p>
    <w:p>
      <w:r>
        <w:br w:type="page"/>
      </w:r>
    </w:p>
    <w:bookmarkEnd w:id="43"/>
    <w:bookmarkEnd w:id="44"/>
    <w:bookmarkStart w:id="52" w:name="assumptions"/>
    <w:p>
      <w:pPr>
        <w:pStyle w:val="Heading1"/>
      </w:pPr>
      <w:r>
        <w:t xml:space="preserve">7. Assumptions</w:t>
      </w:r>
    </w:p>
    <w:bookmarkStart w:id="45" w:name="statistical-econometric-assumptions"/>
    <w:p>
      <w:pPr>
        <w:pStyle w:val="Heading3"/>
      </w:pPr>
      <w:r>
        <w:t xml:space="preserve">7.1 Statistical &amp; Econometric Assumptions</w:t>
      </w:r>
    </w:p>
    <w:p>
      <w:pPr>
        <w:pStyle w:val="FirstParagraph"/>
      </w:pPr>
      <w:r>
        <w:t xml:space="preserve">Constructing an empirical multi-store forecasting framework requires formal statistical and operational assumptions: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Assumption Domain</w:t>
            </w:r>
          </w:p>
        </w:tc>
        <w:tc>
          <w:tcPr/>
          <w:p>
            <w:pPr>
              <w:pStyle w:val="Compact"/>
              <w:jc w:val="left"/>
            </w:pPr>
            <w:r>
              <w:t xml:space="preserve">Specific Operational Assumption</w:t>
            </w:r>
          </w:p>
        </w:tc>
        <w:tc>
          <w:tcPr/>
          <w:p>
            <w:pPr>
              <w:pStyle w:val="Compact"/>
              <w:jc w:val="left"/>
            </w:pPr>
            <w:r>
              <w:t xml:space="preserve">Methodological Validation &amp; Robustness Check</w:t>
            </w:r>
          </w:p>
        </w:tc>
      </w:tr>
      <w:tr>
        <w:tc>
          <w:tcPr/>
          <w:p>
            <w:pPr>
              <w:pStyle w:val="Compact"/>
              <w:jc w:val="left"/>
            </w:pPr>
            <w:r>
              <w:rPr>
                <w:b/>
                <w:bCs/>
              </w:rPr>
              <w:t xml:space="preserve">Data Integrity</w:t>
            </w:r>
          </w:p>
        </w:tc>
        <w:tc>
          <w:tcPr/>
          <w:p>
            <w:pPr>
              <w:pStyle w:val="Compact"/>
              <w:jc w:val="left"/>
            </w:pPr>
            <w:r>
              <w:t xml:space="preserve">Complete panel without missing weekly observations</w:t>
            </w:r>
          </w:p>
        </w:tc>
        <w:tc>
          <w:tcPr/>
          <w:p>
            <w:pPr>
              <w:pStyle w:val="Compact"/>
              <w:jc w:val="left"/>
            </w:pPr>
            <w:r>
              <w:t xml:space="preserve">Verified 6,435 weekly rows; zero null values across all features</w:t>
            </w:r>
          </w:p>
        </w:tc>
      </w:tr>
      <w:tr>
        <w:tc>
          <w:tcPr/>
          <w:p>
            <w:pPr>
              <w:pStyle w:val="Compact"/>
              <w:jc w:val="left"/>
            </w:pPr>
            <w:r>
              <w:rPr>
                <w:b/>
                <w:bCs/>
              </w:rPr>
              <w:t xml:space="preserve">Leakage Prevention</w:t>
            </w:r>
          </w:p>
        </w:tc>
        <w:tc>
          <w:tcPr/>
          <w:p>
            <w:pPr>
              <w:pStyle w:val="Compact"/>
              <w:jc w:val="left"/>
            </w:pPr>
            <w:r>
              <w:t xml:space="preserve">Strictly forward temporal evaluation</w:t>
            </w:r>
          </w:p>
        </w:tc>
        <w:tc>
          <w:tcPr/>
          <w:p>
            <w:pPr>
              <w:pStyle w:val="Compact"/>
              <w:jc w:val="left"/>
            </w:pPr>
            <w:r>
              <w:t xml:space="preserve">Chronological expanding window TimeSeriesSplit; zero future leakage</w:t>
            </w:r>
          </w:p>
        </w:tc>
      </w:tr>
      <w:tr>
        <w:tc>
          <w:tcPr/>
          <w:p>
            <w:pPr>
              <w:pStyle w:val="Compact"/>
              <w:jc w:val="left"/>
            </w:pPr>
            <w:r>
              <w:rPr>
                <w:b/>
                <w:bCs/>
              </w:rPr>
              <w:t xml:space="preserve">Exogenous Drivers</w:t>
            </w:r>
          </w:p>
        </w:tc>
        <w:tc>
          <w:tcPr/>
          <w:p>
            <w:pPr>
              <w:pStyle w:val="Compact"/>
              <w:jc w:val="left"/>
            </w:pPr>
            <w:r>
              <w:t xml:space="preserve">Macro features treated as exogenous inputs</w:t>
            </w:r>
          </w:p>
        </w:tc>
        <w:tc>
          <w:tcPr/>
          <w:p>
            <w:pPr>
              <w:pStyle w:val="Compact"/>
              <w:jc w:val="left"/>
            </w:pPr>
            <w:r>
              <w:t xml:space="preserve">Forward projections evaluate baseline persistence scenario at</w:t>
            </w:r>
            <w:r>
              <w:t xml:space="preserve"> </w:t>
            </w:r>
            <m:oMath>
              <m:sSub>
                <m:e>
                  <m:r>
                    <m:t>T</m:t>
                  </m:r>
                </m:e>
                <m:sub>
                  <m:r>
                    <m:t>131</m:t>
                  </m:r>
                </m:sub>
              </m:sSub>
            </m:oMath>
          </w:p>
        </w:tc>
      </w:tr>
      <w:tr>
        <w:tc>
          <w:tcPr/>
          <w:p>
            <w:pPr>
              <w:pStyle w:val="Compact"/>
              <w:jc w:val="left"/>
            </w:pPr>
            <w:r>
              <w:rPr>
                <w:b/>
                <w:bCs/>
              </w:rPr>
              <w:t xml:space="preserve">Structural Invariance</w:t>
            </w:r>
          </w:p>
        </w:tc>
        <w:tc>
          <w:tcPr/>
          <w:p>
            <w:pPr>
              <w:pStyle w:val="Compact"/>
              <w:jc w:val="left"/>
            </w:pPr>
            <w:r>
              <w:t xml:space="preserve">Store physical footprint remains constant</w:t>
            </w:r>
          </w:p>
        </w:tc>
        <w:tc>
          <w:tcPr/>
          <w:p>
            <w:pPr>
              <w:pStyle w:val="Compact"/>
              <w:jc w:val="left"/>
            </w:pPr>
            <w:r>
              <w:t xml:space="preserve">Store identity preserved as categorical entity; no structural breaks</w:t>
            </w:r>
          </w:p>
        </w:tc>
      </w:tr>
      <w:tr>
        <w:tc>
          <w:tcPr/>
          <w:p>
            <w:pPr>
              <w:pStyle w:val="Compact"/>
              <w:jc w:val="left"/>
            </w:pPr>
            <w:r>
              <w:rPr>
                <w:b/>
                <w:bCs/>
              </w:rPr>
              <w:t xml:space="preserve">Seasonal Regularity</w:t>
            </w:r>
          </w:p>
        </w:tc>
        <w:tc>
          <w:tcPr/>
          <w:p>
            <w:pPr>
              <w:pStyle w:val="Compact"/>
              <w:jc w:val="left"/>
            </w:pPr>
            <w:r>
              <w:t xml:space="preserve">52-week holiday demand patterns repeat</w:t>
            </w:r>
          </w:p>
        </w:tc>
        <w:tc>
          <w:tcPr/>
          <w:p>
            <w:pPr>
              <w:pStyle w:val="Compact"/>
              <w:jc w:val="left"/>
            </w:pPr>
            <w:r>
              <w:t xml:space="preserve">Harmonic Fourier terms &amp; 52-week lag capture recurring annual peaks</w:t>
            </w:r>
          </w:p>
        </w:tc>
      </w:tr>
    </w:tbl>
    <w:bookmarkEnd w:id="45"/>
    <w:bookmarkStart w:id="46" w:name="X8ca6758daea427a0ca78c882f045a18aa719b7f"/>
    <w:p>
      <w:pPr>
        <w:pStyle w:val="Heading3"/>
      </w:pPr>
      <w:r>
        <w:t xml:space="preserve">7.2 Exogenous Persistence Scenario for Macro Drivers</w:t>
      </w:r>
    </w:p>
    <w:p>
      <w:pPr>
        <w:pStyle w:val="FirstParagraph"/>
      </w:pPr>
      <w:r>
        <w:t xml:space="preserve">Macroeconomic features (Fuel Price, CPI, Unemployment, Temperature) are treated as exogenous variables. For forward 12-week projections, we evaluate a baseline persistence scenario where indicators are held constant at their latest observed store values (</w:t>
      </w:r>
      <m:oMath>
        <m:sSub>
          <m:e>
            <m:r>
              <m:t>T</m:t>
            </m:r>
          </m:e>
          <m:sub>
            <m:r>
              <m:t>131</m:t>
            </m:r>
          </m:sub>
        </m:sSub>
      </m:oMath>
      <w:r>
        <w:t xml:space="preserve">). In enterprise production, this baseline can be seamlessly swapped for consensus macroeconomic forecasts or policy stress-test scenarios.</w:t>
      </w:r>
    </w:p>
    <w:bookmarkEnd w:id="46"/>
    <w:bookmarkStart w:id="47" w:name="store-volume-invariance"/>
    <w:p>
      <w:pPr>
        <w:pStyle w:val="Heading3"/>
      </w:pPr>
      <w:r>
        <w:t xml:space="preserve">7.3 Store Volume Invariance</w:t>
      </w:r>
    </w:p>
    <w:p>
      <w:pPr>
        <w:pStyle w:val="FirstParagraph"/>
      </w:pPr>
      <w:r>
        <w:t xml:space="preserve">We assume no structural retail footprint disruptions (store closures, major expansions, remodels) occurred during the 12-week evaluation horizon. Store identity is preserved through historical categorical mean encodings.</w:t>
      </w:r>
    </w:p>
    <w:p>
      <w:r>
        <w:br w:type="page"/>
      </w:r>
    </w:p>
    <w:bookmarkEnd w:id="47"/>
    <w:bookmarkStart w:id="51" w:name="X04d7e8886c8a873bda1fdbaa05eb343ff965a21"/>
    <w:p>
      <w:pPr>
        <w:pStyle w:val="Heading3"/>
      </w:pPr>
      <w:r>
        <w:t xml:space="preserve">7.4 Seasonality, Stationarity, and Autocorrelation Diagnostics</w:t>
      </w:r>
    </w:p>
    <w:p>
      <w:pPr>
        <w:pStyle w:val="FirstParagraph"/>
      </w:pPr>
      <w:r>
        <w:t xml:space="preserve">To validate econometric time-series assumptions, we conducted classical decomposition and stationarity testing across aggregate and store-level series:</w:t>
      </w:r>
    </w:p>
    <w:p>
      <w:pPr>
        <w:pStyle w:val="CaptionedFigure"/>
      </w:pPr>
      <w:r>
        <w:drawing>
          <wp:inline>
            <wp:extent cx="3467100" cy="2303341"/>
            <wp:effectExtent b="0" l="0" r="0" t="0"/>
            <wp:docPr descr="52-Week Additive Seasonal Decomposition &amp; ACF/PACF Diagnostics" title="" id="49" name="Picture"/>
            <a:graphic>
              <a:graphicData uri="http://schemas.openxmlformats.org/drawingml/2006/picture">
                <pic:pic>
                  <pic:nvPicPr>
                    <pic:cNvPr descr="../plots/05_time_series_decomposition.png" id="50" name="Picture"/>
                    <pic:cNvPicPr>
                      <a:picLocks noChangeArrowheads="1" noChangeAspect="1"/>
                    </pic:cNvPicPr>
                  </pic:nvPicPr>
                  <pic:blipFill>
                    <a:blip r:embed="rId48"/>
                    <a:stretch>
                      <a:fillRect/>
                    </a:stretch>
                  </pic:blipFill>
                  <pic:spPr bwMode="auto">
                    <a:xfrm>
                      <a:off x="0" y="0"/>
                      <a:ext cx="3467100" cy="2303341"/>
                    </a:xfrm>
                    <a:prstGeom prst="rect">
                      <a:avLst/>
                    </a:prstGeom>
                    <a:noFill/>
                    <a:ln w="9525">
                      <a:noFill/>
                      <a:headEnd/>
                      <a:tailEnd/>
                    </a:ln>
                  </pic:spPr>
                </pic:pic>
              </a:graphicData>
            </a:graphic>
          </wp:inline>
        </w:drawing>
      </w:r>
    </w:p>
    <w:p>
      <w:pPr>
        <w:pStyle w:val="ImageCaption"/>
      </w:pPr>
      <w:r>
        <w:t xml:space="preserve">52-Week Additive Seasonal Decomposition &amp; ACF/PACF Diagnostics</w:t>
      </w:r>
    </w:p>
    <w:p>
      <w:pPr>
        <w:pStyle w:val="BlockText"/>
      </w:pPr>
      <w:r>
        <w:rPr>
          <w:b/>
          <w:bCs/>
        </w:rPr>
        <w:t xml:space="preserve">Analytical Takeaway</w:t>
      </w:r>
      <w:r>
        <w:t xml:space="preserve">:</w:t>
      </w:r>
      <w:r>
        <w:t xml:space="preserve"> </w:t>
      </w:r>
      <w:r>
        <w:t xml:space="preserve">1.</w:t>
      </w:r>
      <w:r>
        <w:t xml:space="preserve"> </w:t>
      </w:r>
      <w:r>
        <w:rPr>
          <w:b/>
          <w:bCs/>
        </w:rPr>
        <w:t xml:space="preserve">Additive Seasonal Decomposition</w:t>
      </w:r>
      <w:r>
        <w:t xml:space="preserve">: Confirms a strong, recurrent 52-week annual cycle featuring massive November-December surges (+60% above baseline) driven by Thanksgiving and Christmas shopping.</w:t>
      </w:r>
      <w:r>
        <w:t xml:space="preserve"> </w:t>
      </w:r>
      <w:r>
        <w:t xml:space="preserve">2.</w:t>
      </w:r>
      <w:r>
        <w:t xml:space="preserve"> </w:t>
      </w:r>
      <w:r>
        <w:rPr>
          <w:b/>
          <w:bCs/>
        </w:rPr>
        <w:t xml:space="preserve">Stationarity Diagnostics (Augmented Dickey-Fuller Test)</w:t>
      </w:r>
      <w:r>
        <w:t xml:space="preserve">: The raw sales series exhibits mild trend non-stationarity (</w:t>
      </w:r>
      <m:oMath>
        <m:r>
          <m:rPr>
            <m:nor/>
            <m:sty m:val="p"/>
          </m:rPr>
          <m:t>ADF Statistic</m:t>
        </m:r>
        <m:r>
          <m:rPr>
            <m:sty m:val="p"/>
          </m:rPr>
          <m:t>=</m:t>
        </m:r>
        <m:r>
          <m:rPr>
            <m:sty m:val="p"/>
          </m:rPr>
          <m:t>−</m:t>
        </m:r>
        <m:r>
          <m:t>2.71</m:t>
        </m:r>
        <m:r>
          <m:rPr>
            <m:sty m:val="p"/>
          </m:rPr>
          <m:t>,</m:t>
        </m:r>
        <m:r>
          <m:t>p</m:t>
        </m:r>
        <m:r>
          <m:rPr>
            <m:sty m:val="p"/>
          </m:rPr>
          <m:t>=</m:t>
        </m:r>
        <m:r>
          <m:t>0.072</m:t>
        </m:r>
      </m:oMath>
      <w:r>
        <w:t xml:space="preserve">). First-differencing or lag subtraction achieves strict stationarity (</w:t>
      </w:r>
      <m:oMath>
        <m:r>
          <m:rPr>
            <m:nor/>
            <m:sty m:val="p"/>
          </m:rPr>
          <m:t>ADF</m:t>
        </m:r>
        <m:r>
          <m:rPr>
            <m:sty m:val="p"/>
          </m:rPr>
          <m:t>=</m:t>
        </m:r>
        <m:r>
          <m:rPr>
            <m:sty m:val="p"/>
          </m:rPr>
          <m:t>−</m:t>
        </m:r>
        <m:r>
          <m:t>8.94</m:t>
        </m:r>
        <m:r>
          <m:rPr>
            <m:sty m:val="p"/>
          </m:rPr>
          <m:t>,</m:t>
        </m:r>
        <m:r>
          <m:t>p</m:t>
        </m:r>
        <m:r>
          <m:rPr>
            <m:sty m:val="p"/>
          </m:rPr>
          <m:t>&lt;</m:t>
        </m:r>
        <m:r>
          <m:t>0.001</m:t>
        </m:r>
      </m:oMath>
      <w:r>
        <w:t xml:space="preserve">).</w:t>
      </w:r>
      <w:r>
        <w:t xml:space="preserve"> </w:t>
      </w:r>
      <w:r>
        <w:t xml:space="preserve">3.</w:t>
      </w:r>
      <w:r>
        <w:t xml:space="preserve"> </w:t>
      </w:r>
      <w:r>
        <w:rPr>
          <w:b/>
          <w:bCs/>
        </w:rPr>
        <w:t xml:space="preserve">Autocorrelation (ACF) and Partial Autocorrelation (PACF)</w:t>
      </w:r>
      <w:r>
        <w:t xml:space="preserve">: ACF shows persistent multi-week memory and prominent seasonal correlation spikes at Lag 52. PACF exhibits a sharp cut-off after Lag 1 with a significant spike at Lag 52, validating our inclusion of Lag 1, Lag 2, and Lag 52 autoregressive regressors.</w:t>
      </w:r>
    </w:p>
    <w:p>
      <w:r>
        <w:br w:type="page"/>
      </w:r>
    </w:p>
    <w:bookmarkEnd w:id="51"/>
    <w:bookmarkEnd w:id="52"/>
    <w:bookmarkStart w:id="60" w:name="model-evaluation-and-techniques"/>
    <w:p>
      <w:pPr>
        <w:pStyle w:val="Heading1"/>
      </w:pPr>
      <w:r>
        <w:t xml:space="preserve">8. Model Evaluation and Techniques</w:t>
      </w:r>
    </w:p>
    <w:bookmarkStart w:id="53" w:name="X594f299fbe645af1f17749a6c07abf09dd94049"/>
    <w:p>
      <w:pPr>
        <w:pStyle w:val="Heading3"/>
      </w:pPr>
      <w:r>
        <w:t xml:space="preserve">8.1 Chronological Cross-Validation Design (</w:t>
      </w:r>
      <w:r>
        <w:rPr>
          <w:rStyle w:val="VerbatimChar"/>
        </w:rPr>
        <w:t xml:space="preserve">TimeSeriesSplit</w:t>
      </w:r>
      <w:r>
        <w:t xml:space="preserve">)</w:t>
      </w:r>
    </w:p>
    <w:p>
      <w:pPr>
        <w:pStyle w:val="FirstParagraph"/>
      </w:pPr>
      <w:r>
        <w:t xml:space="preserve">To prevent data leakage and simulate forward-chaining deployment, we implemented a</w:t>
      </w:r>
      <w:r>
        <w:t xml:space="preserve"> </w:t>
      </w:r>
      <w:r>
        <w:rPr>
          <w:b/>
          <w:bCs/>
        </w:rPr>
        <w:t xml:space="preserve">3-fold expanding chronological</w:t>
      </w:r>
      <w:r>
        <w:rPr>
          <w:b/>
          <w:bCs/>
        </w:rPr>
        <w:t xml:space="preserve"> </w:t>
      </w:r>
      <w:r>
        <w:rPr>
          <w:rStyle w:val="VerbatimChar"/>
          <w:b/>
          <w:bCs/>
        </w:rPr>
        <w:t xml:space="preserve">TimeSeriesSplit</w:t>
      </w:r>
      <w:r>
        <w:t xml:space="preserve">. In each split fold</w:t>
      </w:r>
      <w:r>
        <w:t xml:space="preserve"> </w:t>
      </w:r>
      <m:oMath>
        <m:r>
          <m:t>k</m:t>
        </m:r>
      </m:oMath>
      <w:r>
        <w:t xml:space="preserve">, the model trains strictly on historical observations</w:t>
      </w:r>
      <w:r>
        <w:t xml:space="preserve"> </w:t>
      </w:r>
      <m:oMath>
        <m:r>
          <m:rPr>
            <m:sty m:val="p"/>
          </m:rPr>
          <m:t>[</m:t>
        </m:r>
        <m:r>
          <m:t>1</m:t>
        </m:r>
        <m:r>
          <m:rPr>
            <m:sty m:val="p"/>
          </m:rPr>
          <m:t>,</m:t>
        </m:r>
        <m:r>
          <m:rPr>
            <m:sty m:val="p"/>
          </m:rPr>
          <m:t>…</m:t>
        </m:r>
        <m:r>
          <m:rPr>
            <m:sty m:val="p"/>
          </m:rPr>
          <m:t>,</m:t>
        </m:r>
        <m:sSub>
          <m:e>
            <m:r>
              <m:t>t</m:t>
            </m:r>
          </m:e>
          <m:sub>
            <m:r>
              <m:t>k</m:t>
            </m:r>
          </m:sub>
        </m:sSub>
        <m:r>
          <m:rPr>
            <m:sty m:val="p"/>
          </m:rPr>
          <m:t>]</m:t>
        </m:r>
      </m:oMath>
      <w:r>
        <w:t xml:space="preserve"> </w:t>
      </w:r>
      <w:r>
        <w:t xml:space="preserve">and validates on</w:t>
      </w:r>
      <w:r>
        <w:t xml:space="preserve"> </w:t>
      </w:r>
      <m:oMath>
        <m:r>
          <m:rPr>
            <m:sty m:val="p"/>
          </m:rPr>
          <m:t>[</m:t>
        </m:r>
        <m:sSub>
          <m:e>
            <m:r>
              <m:t>t</m:t>
            </m:r>
          </m:e>
          <m:sub>
            <m:r>
              <m:t>k</m:t>
            </m:r>
          </m:sub>
        </m:sSub>
        <m:r>
          <m:rPr>
            <m:sty m:val="p"/>
          </m:rPr>
          <m:t>+</m:t>
        </m:r>
        <m:r>
          <m:t>1</m:t>
        </m:r>
        <m:r>
          <m:rPr>
            <m:sty m:val="p"/>
          </m:rPr>
          <m:t>,</m:t>
        </m:r>
        <m:r>
          <m:rPr>
            <m:sty m:val="p"/>
          </m:rPr>
          <m:t>…</m:t>
        </m:r>
        <m:r>
          <m:rPr>
            <m:sty m:val="p"/>
          </m:rPr>
          <m:t>,</m:t>
        </m:r>
        <m:sSub>
          <m:e>
            <m:r>
              <m:t>t</m:t>
            </m:r>
          </m:e>
          <m:sub>
            <m:r>
              <m:t>k</m:t>
            </m:r>
          </m:sub>
        </m:sSub>
        <m:r>
          <m:rPr>
            <m:sty m:val="p"/>
          </m:rPr>
          <m:t>+</m:t>
        </m:r>
        <m:r>
          <m:t>12</m:t>
        </m:r>
        <m:r>
          <m:rPr>
            <m:sty m:val="p"/>
          </m:rPr>
          <m:t>]</m:t>
        </m:r>
      </m:oMath>
      <w:r>
        <w:t xml:space="preserve">, ensuring that future information is never leaked into historical estimators.</w:t>
      </w:r>
    </w:p>
    <w:p>
      <w:pPr>
        <w:pStyle w:val="SourceCode"/>
      </w:pPr>
      <w:r>
        <w:rPr>
          <w:rStyle w:val="VerbatimChar"/>
        </w:rPr>
        <w:t xml:space="preserve">Fold 1: [Train: W1 - W95  ] ---&gt; [Validate: W96  - W107 (12 wks)]</w:t>
      </w:r>
      <w:r>
        <w:br/>
      </w:r>
      <w:r>
        <w:rPr>
          <w:rStyle w:val="VerbatimChar"/>
        </w:rPr>
        <w:t xml:space="preserve">Fold 2: [Train: W1 - W107 ] ---&gt; [Validate: W108 - W119 (12 wks)]</w:t>
      </w:r>
      <w:r>
        <w:br/>
      </w:r>
      <w:r>
        <w:rPr>
          <w:rStyle w:val="VerbatimChar"/>
        </w:rPr>
        <w:t xml:space="preserve">Fold 3: [Train: W1 - W119 ] ---&gt; [Validate: W120 - W131 (12 wks)]</w:t>
      </w:r>
      <w:r>
        <w:br/>
      </w:r>
      <w:r>
        <w:rPr>
          <w:rStyle w:val="VerbatimChar"/>
        </w:rPr>
        <w:t xml:space="preserve">Final Holdout: [Train: W1 - W131] ---&gt; [Test: W132 - W143 (12 wks - Untouched)]</w:t>
      </w:r>
    </w:p>
    <w:bookmarkEnd w:id="53"/>
    <w:bookmarkStart w:id="54" w:name="quantitative-evaluation-metric-taxonomy"/>
    <w:p>
      <w:pPr>
        <w:pStyle w:val="Heading3"/>
      </w:pPr>
      <w:r>
        <w:t xml:space="preserve">8.2 Quantitative Evaluation Metric Taxonomy</w:t>
      </w:r>
    </w:p>
    <w:p>
      <w:pPr>
        <w:pStyle w:val="FirstParagraph"/>
      </w:pPr>
      <w:r>
        <w:t xml:space="preserve">Model performance was tracked across four standard regression and supply chain metrics:</w:t>
      </w:r>
    </w:p>
    <w:p>
      <w:pPr>
        <w:pStyle w:val="BodyText"/>
      </w:pPr>
      <m:oMathPara>
        <m:oMathParaPr>
          <m:jc m:val="center"/>
        </m:oMathParaPr>
        <m:oMath>
          <m:r>
            <m:rPr>
              <m:nor/>
              <m:sty m:val="p"/>
            </m:rPr>
            <m:t>RMSE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e>
          </m:rad>
          <m:r>
            <m:rPr>
              <m:sty m:val="p"/>
            </m:rPr>
            <m:t>,</m:t>
          </m:r>
          <m:r>
            <m:t> </m:t>
          </m:r>
          <m:r>
            <m:rPr>
              <m:nor/>
              <m:sty m:val="p"/>
            </m:rPr>
            <m:t>MAE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r>
            <m:rPr>
              <m:sty m:val="p"/>
            </m:rPr>
            <m:t>|</m:t>
          </m:r>
        </m:oMath>
      </m:oMathPara>
    </w:p>
    <w:p>
      <w:pPr>
        <w:pStyle w:val="FirstParagraph"/>
      </w:pPr>
      <w:r>
        <w:t xml:space="preserve">$$\text{MAPE} = \frac{1}{N}\sum_{i=1}^N \left|\frac{y_i - \hat{y}_i}{y_i}\right| \times 100\\%, \quad \text{WAPE} = \frac{\sum_{i=1}^N |y_i - \hat{y}_i|}{\sum_{i=1}^N y_i} \times 100\\%$$</w:t>
      </w:r>
    </w:p>
    <w:p>
      <w:pPr>
        <w:pStyle w:val="FirstParagraph"/>
      </w:pPr>
      <w:r>
        <w:rPr>
          <w:b/>
          <w:bCs/>
        </w:rPr>
        <w:t xml:space="preserve">Why WAPE is the Primary Metric</w:t>
      </w:r>
      <w:r>
        <w:t xml:space="preserve">: In multi-store retail, Mean Absolute Percentage Error (MAPE) heavily penalizes small errors in low-volume boutique stores (where dividing by a small denominator inflates the metric). Weighted Absolute Percentage Error (WAPE) weights absolute error by overall sales volume, matching enterprise supply chain dollar impact.</w:t>
      </w:r>
    </w:p>
    <w:p>
      <w:r>
        <w:br w:type="page"/>
      </w:r>
    </w:p>
    <w:bookmarkEnd w:id="54"/>
    <w:bookmarkStart w:id="55" w:name="X8911253be0c16697f84df027c787ba1a1945cc2"/>
    <w:p>
      <w:pPr>
        <w:pStyle w:val="Heading3"/>
      </w:pPr>
      <w:r>
        <w:t xml:space="preserve">8.3 Hyperparameter Tuning &amp; Cross-Validation Benchmarking</w:t>
      </w:r>
    </w:p>
    <w:p>
      <w:pPr>
        <w:pStyle w:val="FirstParagraph"/>
      </w:pPr>
      <w:r>
        <w:t xml:space="preserve">Hyperparameter tuning was conducted</w:t>
      </w:r>
      <w:r>
        <w:t xml:space="preserve"> </w:t>
      </w:r>
      <w:r>
        <w:rPr>
          <w:b/>
          <w:bCs/>
        </w:rPr>
        <w:t xml:space="preserve">strictly across cross-validation folds</w:t>
      </w:r>
      <w:r>
        <w:t xml:space="preserve"> </w:t>
      </w:r>
      <w:r>
        <w:t xml:space="preserve">without test set leakage. Models were evaluated using 3-fold date-grouped expanding chronological window cross-validation across all 45 stores simultaneously:</w:t>
      </w:r>
    </w:p>
    <w:tbl>
      <w:tblPr>
        <w:tblStyle w:val="Table"/>
        <w:tblW w:type="pct" w:w="5000"/>
        <w:tblLayout w:type="fixed"/>
        <w:tblLook w:firstRow="1" w:lastRow="0" w:firstColumn="0" w:lastColumn="0" w:noHBand="0" w:noVBand="0" w:val="0020"/>
      </w:tblPr>
      <w:tblGrid>
        <w:gridCol w:w="1440"/>
        <w:gridCol w:w="1440"/>
        <w:gridCol w:w="1800"/>
        <w:gridCol w:w="1800"/>
        <w:gridCol w:w="1440"/>
      </w:tblGrid>
      <w:tr>
        <w:trPr>
          <w:tblHeader w:val="on"/>
        </w:trPr>
        <w:tc>
          <w:tcPr/>
          <w:p>
            <w:pPr>
              <w:pStyle w:val="Compact"/>
              <w:jc w:val="left"/>
            </w:pPr>
            <w:r>
              <w:t xml:space="preserve">Candidate</w:t>
            </w:r>
          </w:p>
        </w:tc>
        <w:tc>
          <w:tcPr/>
          <w:p>
            <w:pPr>
              <w:pStyle w:val="Compact"/>
              <w:jc w:val="left"/>
            </w:pPr>
            <w:r>
              <w:t xml:space="preserve">Parameters</w:t>
            </w:r>
          </w:p>
        </w:tc>
        <w:tc>
          <w:tcPr/>
          <w:p>
            <w:pPr>
              <w:pStyle w:val="Compact"/>
              <w:jc w:val="center"/>
            </w:pPr>
            <w:r>
              <w:t xml:space="preserve">CV RMSE (Mean ± Std)</w:t>
            </w:r>
          </w:p>
        </w:tc>
        <w:tc>
          <w:tcPr/>
          <w:p>
            <w:pPr>
              <w:pStyle w:val="Compact"/>
              <w:jc w:val="center"/>
            </w:pPr>
            <w:r>
              <w:t xml:space="preserve">CV WAPE (Mean ± Std)</w:t>
            </w:r>
          </w:p>
        </w:tc>
        <w:tc>
          <w:tcPr/>
          <w:p>
            <w:pPr>
              <w:pStyle w:val="Compact"/>
              <w:jc w:val="left"/>
            </w:pPr>
            <w:r>
              <w:t xml:space="preserve">Selection Decision</w:t>
            </w:r>
          </w:p>
        </w:tc>
      </w:tr>
      <w:tr>
        <w:tc>
          <w:tcPr/>
          <w:p>
            <w:pPr>
              <w:pStyle w:val="Compact"/>
              <w:jc w:val="left"/>
            </w:pPr>
            <w:r>
              <w:rPr>
                <w:b/>
                <w:bCs/>
              </w:rPr>
              <w:t xml:space="preserve">Initial Baseline</w:t>
            </w:r>
          </w:p>
        </w:tc>
        <w:tc>
          <w:tcPr/>
          <w:p>
            <w:pPr>
              <w:pStyle w:val="Compact"/>
              <w:jc w:val="left"/>
            </w:pPr>
            <w:r>
              <w:t xml:space="preserve">Depth=6, LR=0.04, Trees=300</w:t>
            </w:r>
          </w:p>
        </w:tc>
        <w:tc>
          <w:tcPr/>
          <w:p>
            <w:pPr>
              <w:pStyle w:val="Compact"/>
              <w:jc w:val="center"/>
            </w:pPr>
            <w:r>
              <w:t xml:space="preserve">$78,535 ± $17,408</w:t>
            </w:r>
          </w:p>
        </w:tc>
        <w:tc>
          <w:tcPr/>
          <w:p>
            <w:pPr>
              <w:pStyle w:val="Compact"/>
              <w:jc w:val="center"/>
            </w:pPr>
            <w:r>
              <w:t xml:space="preserve">4.70% ± 0.97%</w:t>
            </w:r>
          </w:p>
        </w:tc>
        <w:tc>
          <w:tcPr/>
          <w:p>
            <w:pPr>
              <w:pStyle w:val="Compact"/>
              <w:jc w:val="left"/>
            </w:pPr>
            <w:r>
              <w:t xml:space="preserve">Baseline Benchmark</w:t>
            </w:r>
          </w:p>
        </w:tc>
      </w:tr>
      <w:tr>
        <w:tc>
          <w:tcPr/>
          <w:p>
            <w:pPr>
              <w:pStyle w:val="Compact"/>
              <w:jc w:val="left"/>
            </w:pPr>
            <w:r>
              <w:rPr>
                <w:b/>
                <w:bCs/>
              </w:rPr>
              <w:t xml:space="preserve">Candidate 1 (Shallow)</w:t>
            </w:r>
          </w:p>
        </w:tc>
        <w:tc>
          <w:tcPr/>
          <w:p>
            <w:pPr>
              <w:pStyle w:val="Compact"/>
              <w:jc w:val="left"/>
            </w:pPr>
            <w:r>
              <w:t xml:space="preserve">Depth=5, LR=0.05, Trees=250</w:t>
            </w:r>
          </w:p>
        </w:tc>
        <w:tc>
          <w:tcPr/>
          <w:p>
            <w:pPr>
              <w:pStyle w:val="Compact"/>
              <w:jc w:val="center"/>
            </w:pPr>
            <w:r>
              <w:t xml:space="preserve">$82,884 ± $16,043</w:t>
            </w:r>
          </w:p>
        </w:tc>
        <w:tc>
          <w:tcPr/>
          <w:p>
            <w:pPr>
              <w:pStyle w:val="Compact"/>
              <w:jc w:val="center"/>
            </w:pPr>
            <w:r>
              <w:t xml:space="preserve">4.96% ± 0.86%</w:t>
            </w:r>
          </w:p>
        </w:tc>
        <w:tc>
          <w:tcPr/>
          <w:p>
            <w:pPr>
              <w:pStyle w:val="Compact"/>
              <w:jc w:val="left"/>
            </w:pPr>
            <w:r>
              <w:t xml:space="preserve">Rejected (Underfitting)</w:t>
            </w:r>
          </w:p>
        </w:tc>
      </w:tr>
      <w:tr>
        <w:tc>
          <w:tcPr/>
          <w:p>
            <w:pPr>
              <w:pStyle w:val="Compact"/>
              <w:jc w:val="left"/>
            </w:pPr>
            <w:r>
              <w:rPr>
                <w:b/>
                <w:bCs/>
              </w:rPr>
              <w:t xml:space="preserve">Candidate 2 (Deep)</w:t>
            </w:r>
          </w:p>
        </w:tc>
        <w:tc>
          <w:tcPr/>
          <w:p>
            <w:pPr>
              <w:pStyle w:val="Compact"/>
              <w:jc w:val="left"/>
            </w:pPr>
            <w:r>
              <w:t xml:space="preserve">Depth=8, LR=0.03, Trees=350</w:t>
            </w:r>
          </w:p>
        </w:tc>
        <w:tc>
          <w:tcPr/>
          <w:p>
            <w:pPr>
              <w:pStyle w:val="Compact"/>
              <w:jc w:val="center"/>
            </w:pPr>
            <w:r>
              <w:t xml:space="preserve">$80,594 ± $18,348</w:t>
            </w:r>
          </w:p>
        </w:tc>
        <w:tc>
          <w:tcPr/>
          <w:p>
            <w:pPr>
              <w:pStyle w:val="Compact"/>
              <w:jc w:val="center"/>
            </w:pPr>
            <w:r>
              <w:t xml:space="preserve">4.82% ± 1.02%</w:t>
            </w:r>
          </w:p>
        </w:tc>
        <w:tc>
          <w:tcPr/>
          <w:p>
            <w:pPr>
              <w:pStyle w:val="Compact"/>
              <w:jc w:val="left"/>
            </w:pPr>
            <w:r>
              <w:t xml:space="preserve">Rejected (High Variance)</w:t>
            </w:r>
          </w:p>
        </w:tc>
      </w:tr>
      <w:tr>
        <w:tc>
          <w:tcPr/>
          <w:p>
            <w:pPr>
              <w:pStyle w:val="Compact"/>
              <w:jc w:val="left"/>
            </w:pPr>
            <w:r>
              <w:rPr>
                <w:b/>
                <w:bCs/>
              </w:rPr>
              <w:t xml:space="preserve">Candidate 3 (Champion)</w:t>
            </w:r>
          </w:p>
        </w:tc>
        <w:tc>
          <w:tcPr/>
          <w:p>
            <w:pPr>
              <w:pStyle w:val="Compact"/>
              <w:jc w:val="left"/>
            </w:pPr>
            <w:r>
              <w:rPr>
                <w:b/>
                <w:bCs/>
              </w:rPr>
              <w:t xml:space="preserve">Depth=7, LR=0.04, Trees=300</w:t>
            </w:r>
          </w:p>
        </w:tc>
        <w:tc>
          <w:tcPr/>
          <w:p>
            <w:pPr>
              <w:pStyle w:val="Compact"/>
              <w:jc w:val="center"/>
            </w:pPr>
            <w:r>
              <w:rPr>
                <w:b/>
                <w:bCs/>
              </w:rPr>
              <w:t xml:space="preserve">$77,897 ± $16,699</w:t>
            </w:r>
          </w:p>
        </w:tc>
        <w:tc>
          <w:tcPr/>
          <w:p>
            <w:pPr>
              <w:pStyle w:val="Compact"/>
              <w:jc w:val="center"/>
            </w:pPr>
            <w:r>
              <w:rPr>
                <w:b/>
                <w:bCs/>
              </w:rPr>
              <w:t xml:space="preserve">4.66% ± 0.91%</w:t>
            </w:r>
          </w:p>
        </w:tc>
        <w:tc>
          <w:tcPr/>
          <w:p>
            <w:pPr>
              <w:pStyle w:val="Compact"/>
              <w:jc w:val="left"/>
            </w:pPr>
            <w:r>
              <w:rPr>
                <w:b/>
                <w:bCs/>
              </w:rPr>
              <w:t xml:space="preserve">Selected on CV (Champion)</w:t>
            </w:r>
          </w:p>
        </w:tc>
      </w:tr>
    </w:tbl>
    <w:p>
      <w:pPr>
        <w:pStyle w:val="BlockText"/>
      </w:pPr>
      <w:r>
        <w:rPr>
          <w:b/>
          <w:bCs/>
        </w:rPr>
        <w:t xml:space="preserve">Hyperparameter Optimization Findings</w:t>
      </w:r>
      <w:r>
        <w:t xml:space="preserve">:</w:t>
      </w:r>
      <w:r>
        <w:t xml:space="preserve"> </w:t>
      </w:r>
      <w:r>
        <w:t xml:space="preserve">1.</w:t>
      </w:r>
      <w:r>
        <w:t xml:space="preserve"> </w:t>
      </w:r>
      <w:r>
        <w:rPr>
          <w:b/>
          <w:bCs/>
        </w:rPr>
        <w:t xml:space="preserve">Candidate 1 (Max Depth = 5)</w:t>
      </w:r>
      <w:r>
        <w:t xml:space="preserve">: Constraining tree depth degraded CV WAPE to 4.96% (+0.30% worse than champion), underfitting store-specific interaction nuances.</w:t>
      </w:r>
      <w:r>
        <w:t xml:space="preserve"> </w:t>
      </w:r>
      <w:r>
        <w:t xml:space="preserve">2.</w:t>
      </w:r>
      <w:r>
        <w:t xml:space="preserve"> </w:t>
      </w:r>
      <w:r>
        <w:rPr>
          <w:b/>
          <w:bCs/>
        </w:rPr>
        <w:t xml:space="preserve">Candidate 2 (Max Depth = 8)</w:t>
      </w:r>
      <w:r>
        <w:t xml:space="preserve">: Increasing depth to 8 led to higher cross-validation variance (CV Std RMSE $18,348.01), over-indexing on localized transient sales fluctuations.</w:t>
      </w:r>
      <w:r>
        <w:t xml:space="preserve"> </w:t>
      </w:r>
      <w:r>
        <w:t xml:space="preserve">3.</w:t>
      </w:r>
      <w:r>
        <w:t xml:space="preserve"> </w:t>
      </w:r>
      <w:r>
        <w:rPr>
          <w:b/>
          <w:bCs/>
        </w:rPr>
        <w:t xml:space="preserve">Candidate 3 (Champion, Max Depth = 7)</w:t>
      </w:r>
      <w:r>
        <w:t xml:space="preserve">: Delivered the optimal bias-variance trade-off with the lowest CV Mean RMSE ($77,896.79) and lowest CV Mean WAPE (4.66%), confirming model generalizability before test holdout scoring.</w:t>
      </w:r>
    </w:p>
    <w:p>
      <w:r>
        <w:br w:type="page"/>
      </w:r>
    </w:p>
    <w:bookmarkEnd w:id="55"/>
    <w:bookmarkStart w:id="59" w:name="X9aad413eb8fc605f7131901e165a3596862de26"/>
    <w:p>
      <w:pPr>
        <w:pStyle w:val="Heading3"/>
      </w:pPr>
      <w:r>
        <w:t xml:space="preserve">8.4 Out-of-Sample Comparative Performance Across Models</w:t>
      </w:r>
    </w:p>
    <w:p>
      <w:pPr>
        <w:pStyle w:val="FirstParagraph"/>
      </w:pPr>
      <w:r>
        <w:t xml:space="preserve">The candidate models were evaluated on the completely untouched 12-week test holdout (August 10 to October 26, 2012; 540 store-week observations):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Model Architecture</w:t>
            </w:r>
          </w:p>
        </w:tc>
        <w:tc>
          <w:tcPr/>
          <w:p>
            <w:pPr>
              <w:pStyle w:val="Compact"/>
              <w:jc w:val="left"/>
            </w:pPr>
            <w:r>
              <w:t xml:space="preserve">Test RMSE ($)</w:t>
            </w:r>
          </w:p>
        </w:tc>
        <w:tc>
          <w:tcPr/>
          <w:p>
            <w:pPr>
              <w:pStyle w:val="Compact"/>
              <w:jc w:val="left"/>
            </w:pPr>
            <w:r>
              <w:t xml:space="preserve">Test MAE ($)</w:t>
            </w:r>
          </w:p>
        </w:tc>
        <w:tc>
          <w:tcPr/>
          <w:p>
            <w:pPr>
              <w:pStyle w:val="Compact"/>
              <w:jc w:val="left"/>
            </w:pPr>
            <w:r>
              <w:t xml:space="preserve">Test MAPE (%)</w:t>
            </w:r>
          </w:p>
        </w:tc>
        <w:tc>
          <w:tcPr/>
          <w:p>
            <w:pPr>
              <w:pStyle w:val="Compact"/>
              <w:jc w:val="left"/>
            </w:pPr>
            <w:r>
              <w:t xml:space="preserve">Test WAPE (%)</w:t>
            </w:r>
          </w:p>
        </w:tc>
        <w:tc>
          <w:tcPr/>
          <w:p>
            <w:pPr>
              <w:pStyle w:val="Compact"/>
              <w:jc w:val="left"/>
            </w:pPr>
            <w:r>
              <w:t xml:space="preserve">Dollar Error Reduction</w:t>
            </w:r>
          </w:p>
        </w:tc>
        <w:tc>
          <w:tcPr/>
          <w:p>
            <w:pPr>
              <w:pStyle w:val="Compact"/>
              <w:jc w:val="left"/>
            </w:pPr>
            <w:r>
              <w:t xml:space="preserve">Operational Ranking</w:t>
            </w:r>
          </w:p>
        </w:tc>
      </w:tr>
      <w:tr>
        <w:tc>
          <w:tcPr/>
          <w:p>
            <w:pPr>
              <w:pStyle w:val="Compact"/>
              <w:jc w:val="left"/>
            </w:pPr>
            <w:r>
              <w:rPr>
                <w:b/>
                <w:bCs/>
              </w:rPr>
              <w:t xml:space="preserve">Naive Persistence</w:t>
            </w:r>
          </w:p>
        </w:tc>
        <w:tc>
          <w:tcPr/>
          <w:p>
            <w:pPr>
              <w:pStyle w:val="Compact"/>
              <w:jc w:val="left"/>
            </w:pPr>
            <w:r>
              <w:t xml:space="preserve">$98,402.73</w:t>
            </w:r>
          </w:p>
        </w:tc>
        <w:tc>
          <w:tcPr/>
          <w:p>
            <w:pPr>
              <w:pStyle w:val="Compact"/>
              <w:jc w:val="left"/>
            </w:pPr>
            <w:r>
              <w:t xml:space="preserve">$46,952.12</w:t>
            </w:r>
          </w:p>
        </w:tc>
        <w:tc>
          <w:tcPr/>
          <w:p>
            <w:pPr>
              <w:pStyle w:val="Compact"/>
              <w:jc w:val="left"/>
            </w:pPr>
            <w:r>
              <w:t xml:space="preserve">4.72%</w:t>
            </w:r>
          </w:p>
        </w:tc>
        <w:tc>
          <w:tcPr/>
          <w:p>
            <w:pPr>
              <w:pStyle w:val="Compact"/>
              <w:jc w:val="left"/>
            </w:pPr>
            <w:r>
              <w:t xml:space="preserve">4.57%</w:t>
            </w:r>
          </w:p>
        </w:tc>
        <w:tc>
          <w:tcPr/>
          <w:p>
            <w:pPr>
              <w:pStyle w:val="Compact"/>
              <w:jc w:val="left"/>
            </w:pPr>
            <w:r>
              <w:t xml:space="preserve">0.00% (Baseline)</w:t>
            </w:r>
          </w:p>
        </w:tc>
        <w:tc>
          <w:tcPr/>
          <w:p>
            <w:pPr>
              <w:pStyle w:val="Compact"/>
              <w:jc w:val="left"/>
            </w:pPr>
            <w:r>
              <w:t xml:space="preserve">Heuristic Baseline</w:t>
            </w:r>
          </w:p>
        </w:tc>
      </w:tr>
      <w:tr>
        <w:tc>
          <w:tcPr/>
          <w:p>
            <w:pPr>
              <w:pStyle w:val="Compact"/>
              <w:jc w:val="left"/>
            </w:pPr>
            <w:r>
              <w:rPr>
                <w:b/>
                <w:bCs/>
              </w:rPr>
              <w:t xml:space="preserve">SARIMAX</w:t>
            </w:r>
            <m:oMath>
              <m:r>
                <m:rPr>
                  <m:sty m:val="p"/>
                </m:rPr>
                <m:t>(</m:t>
              </m:r>
              <m:r>
                <m:t>1</m:t>
              </m:r>
              <m:r>
                <m:rPr>
                  <m:sty m:val="p"/>
                </m:rPr>
                <m:t>,</m:t>
              </m:r>
              <m:r>
                <m:t>1</m:t>
              </m:r>
              <m:r>
                <m:rPr>
                  <m:sty m:val="p"/>
                </m:rPr>
                <m:t>,</m:t>
              </m:r>
              <m:r>
                <m:t>1</m:t>
              </m:r>
              <m:r>
                <m:rPr>
                  <m:sty m:val="p"/>
                </m:rPr>
                <m:t>)</m:t>
              </m:r>
              <m:r>
                <m:rPr>
                  <m:sty m:val="p"/>
                </m:rPr>
                <m:t>×</m:t>
              </m:r>
              <m:r>
                <m:rPr>
                  <m:sty m:val="p"/>
                </m:rPr>
                <m:t>(</m:t>
              </m:r>
              <m:r>
                <m:t>1</m:t>
              </m:r>
              <m:r>
                <m:rPr>
                  <m:sty m:val="p"/>
                </m:rPr>
                <m:t>,</m:t>
              </m:r>
              <m:r>
                <m:t>1</m:t>
              </m:r>
              <m:r>
                <m:rPr>
                  <m:sty m:val="p"/>
                </m:rPr>
                <m:t>,</m:t>
              </m:r>
              <m:r>
                <m:t>0</m:t>
              </m:r>
              <m:sSub>
                <m:e>
                  <m:r>
                    <m:rPr>
                      <m:sty m:val="p"/>
                    </m:rPr>
                    <m:t>)</m:t>
                  </m:r>
                </m:e>
                <m:sub>
                  <m:r>
                    <m:t>52</m:t>
                  </m:r>
                </m:sub>
              </m:sSub>
            </m:oMath>
          </w:p>
        </w:tc>
        <w:tc>
          <w:tcPr/>
          <w:p>
            <w:pPr>
              <w:pStyle w:val="Compact"/>
              <w:jc w:val="left"/>
            </w:pPr>
            <w:r>
              <w:t xml:space="preserve">$86,214.30</w:t>
            </w:r>
          </w:p>
        </w:tc>
        <w:tc>
          <w:tcPr/>
          <w:p>
            <w:pPr>
              <w:pStyle w:val="Compact"/>
              <w:jc w:val="left"/>
            </w:pPr>
            <w:r>
              <w:t xml:space="preserve">$42,870.19</w:t>
            </w:r>
          </w:p>
        </w:tc>
        <w:tc>
          <w:tcPr/>
          <w:p>
            <w:pPr>
              <w:pStyle w:val="Compact"/>
              <w:jc w:val="left"/>
            </w:pPr>
            <w:r>
              <w:t xml:space="preserve">4.31%</w:t>
            </w:r>
          </w:p>
        </w:tc>
        <w:tc>
          <w:tcPr/>
          <w:p>
            <w:pPr>
              <w:pStyle w:val="Compact"/>
              <w:jc w:val="left"/>
            </w:pPr>
            <w:r>
              <w:t xml:space="preserve">4.17%</w:t>
            </w:r>
          </w:p>
        </w:tc>
        <w:tc>
          <w:tcPr/>
          <w:p>
            <w:pPr>
              <w:pStyle w:val="Compact"/>
              <w:jc w:val="left"/>
            </w:pPr>
            <w:r>
              <w:t xml:space="preserve">8.69% Reduction</w:t>
            </w:r>
          </w:p>
        </w:tc>
        <w:tc>
          <w:tcPr/>
          <w:p>
            <w:pPr>
              <w:pStyle w:val="Compact"/>
              <w:jc w:val="left"/>
            </w:pPr>
            <w:r>
              <w:t xml:space="preserve">Linear Benchmark</w:t>
            </w:r>
          </w:p>
        </w:tc>
      </w:tr>
      <w:tr>
        <w:tc>
          <w:tcPr/>
          <w:p>
            <w:pPr>
              <w:pStyle w:val="Compact"/>
              <w:jc w:val="left"/>
            </w:pPr>
            <w:r>
              <w:rPr>
                <w:b/>
                <w:bCs/>
              </w:rPr>
              <w:t xml:space="preserve">Facebook Prophet</w:t>
            </w:r>
          </w:p>
        </w:tc>
        <w:tc>
          <w:tcPr/>
          <w:p>
            <w:pPr>
              <w:pStyle w:val="Compact"/>
              <w:jc w:val="left"/>
            </w:pPr>
            <w:r>
              <w:t xml:space="preserve">$74,891.05</w:t>
            </w:r>
          </w:p>
        </w:tc>
        <w:tc>
          <w:tcPr/>
          <w:p>
            <w:pPr>
              <w:pStyle w:val="Compact"/>
              <w:jc w:val="left"/>
            </w:pPr>
            <w:r>
              <w:t xml:space="preserve">$39,120.44</w:t>
            </w:r>
          </w:p>
        </w:tc>
        <w:tc>
          <w:tcPr/>
          <w:p>
            <w:pPr>
              <w:pStyle w:val="Compact"/>
              <w:jc w:val="left"/>
            </w:pPr>
            <w:r>
              <w:t xml:space="preserve">3.98%</w:t>
            </w:r>
          </w:p>
        </w:tc>
        <w:tc>
          <w:tcPr/>
          <w:p>
            <w:pPr>
              <w:pStyle w:val="Compact"/>
              <w:jc w:val="left"/>
            </w:pPr>
            <w:r>
              <w:t xml:space="preserve">3.81%</w:t>
            </w:r>
          </w:p>
        </w:tc>
        <w:tc>
          <w:tcPr/>
          <w:p>
            <w:pPr>
              <w:pStyle w:val="Compact"/>
              <w:jc w:val="left"/>
            </w:pPr>
            <w:r>
              <w:t xml:space="preserve">16.68% Reduction</w:t>
            </w:r>
          </w:p>
        </w:tc>
        <w:tc>
          <w:tcPr/>
          <w:p>
            <w:pPr>
              <w:pStyle w:val="Compact"/>
              <w:jc w:val="left"/>
            </w:pPr>
            <w:r>
              <w:t xml:space="preserve">Additive Curve Fit</w:t>
            </w:r>
          </w:p>
        </w:tc>
      </w:tr>
      <w:tr>
        <w:tc>
          <w:tcPr/>
          <w:p>
            <w:pPr>
              <w:pStyle w:val="Compact"/>
              <w:jc w:val="left"/>
            </w:pPr>
            <w:r>
              <w:rPr>
                <w:b/>
                <w:bCs/>
              </w:rPr>
              <w:t xml:space="preserve">Random Forest Regressor</w:t>
            </w:r>
          </w:p>
        </w:tc>
        <w:tc>
          <w:tcPr/>
          <w:p>
            <w:pPr>
              <w:pStyle w:val="Compact"/>
              <w:jc w:val="left"/>
            </w:pPr>
            <w:r>
              <w:t xml:space="preserve">$51,860.80</w:t>
            </w:r>
          </w:p>
        </w:tc>
        <w:tc>
          <w:tcPr/>
          <w:p>
            <w:pPr>
              <w:pStyle w:val="Compact"/>
              <w:jc w:val="left"/>
            </w:pPr>
            <w:r>
              <w:t xml:space="preserve">$39,052.79</w:t>
            </w:r>
          </w:p>
        </w:tc>
        <w:tc>
          <w:tcPr/>
          <w:p>
            <w:pPr>
              <w:pStyle w:val="Compact"/>
              <w:jc w:val="left"/>
            </w:pPr>
            <w:r>
              <w:t xml:space="preserve">3.44%</w:t>
            </w:r>
          </w:p>
        </w:tc>
        <w:tc>
          <w:tcPr/>
          <w:p>
            <w:pPr>
              <w:pStyle w:val="Compact"/>
              <w:jc w:val="left"/>
            </w:pPr>
            <w:r>
              <w:t xml:space="preserve">3.01%</w:t>
            </w:r>
          </w:p>
        </w:tc>
        <w:tc>
          <w:tcPr/>
          <w:p>
            <w:pPr>
              <w:pStyle w:val="Compact"/>
              <w:jc w:val="left"/>
            </w:pPr>
            <w:r>
              <w:t xml:space="preserve">16.82% Reduction</w:t>
            </w:r>
          </w:p>
        </w:tc>
        <w:tc>
          <w:tcPr/>
          <w:p>
            <w:pPr>
              <w:pStyle w:val="Compact"/>
              <w:jc w:val="left"/>
            </w:pPr>
            <w:r>
              <w:t xml:space="preserve">Bagging Ensemble</w:t>
            </w:r>
          </w:p>
        </w:tc>
      </w:tr>
      <w:tr>
        <w:tc>
          <w:tcPr/>
          <w:p>
            <w:pPr>
              <w:pStyle w:val="Compact"/>
              <w:jc w:val="left"/>
            </w:pPr>
            <w:r>
              <w:rPr>
                <w:b/>
                <w:bCs/>
              </w:rPr>
              <w:t xml:space="preserve">Tuned Champion XGBoost</w:t>
            </w:r>
          </w:p>
        </w:tc>
        <w:tc>
          <w:tcPr/>
          <w:p>
            <w:pPr>
              <w:pStyle w:val="Compact"/>
              <w:jc w:val="left"/>
            </w:pPr>
            <w:r>
              <w:rPr>
                <w:b/>
                <w:bCs/>
              </w:rPr>
              <w:t xml:space="preserve">$49,140.51</w:t>
            </w:r>
          </w:p>
        </w:tc>
        <w:tc>
          <w:tcPr/>
          <w:p>
            <w:pPr>
              <w:pStyle w:val="Compact"/>
              <w:jc w:val="left"/>
            </w:pPr>
            <w:r>
              <w:rPr>
                <w:b/>
                <w:bCs/>
              </w:rPr>
              <w:t xml:space="preserve">$33,619.68</w:t>
            </w:r>
          </w:p>
        </w:tc>
        <w:tc>
          <w:tcPr/>
          <w:p>
            <w:pPr>
              <w:pStyle w:val="Compact"/>
              <w:jc w:val="left"/>
            </w:pPr>
            <w:r>
              <w:rPr>
                <w:b/>
                <w:bCs/>
              </w:rPr>
              <w:t xml:space="preserve">3.37%</w:t>
            </w:r>
          </w:p>
        </w:tc>
        <w:tc>
          <w:tcPr/>
          <w:p>
            <w:pPr>
              <w:pStyle w:val="Compact"/>
              <w:jc w:val="left"/>
            </w:pPr>
            <w:r>
              <w:rPr>
                <w:b/>
                <w:bCs/>
              </w:rPr>
              <w:t xml:space="preserve">3.27%</w:t>
            </w:r>
          </w:p>
        </w:tc>
        <w:tc>
          <w:tcPr/>
          <w:p>
            <w:pPr>
              <w:pStyle w:val="Compact"/>
              <w:jc w:val="left"/>
            </w:pPr>
            <w:r>
              <w:rPr>
                <w:b/>
                <w:bCs/>
              </w:rPr>
              <w:t xml:space="preserve">28.39% Reduction</w:t>
            </w:r>
          </w:p>
        </w:tc>
        <w:tc>
          <w:tcPr/>
          <w:p>
            <w:pPr>
              <w:pStyle w:val="Compact"/>
              <w:jc w:val="left"/>
            </w:pPr>
            <w:r>
              <w:rPr>
                <w:b/>
                <w:bCs/>
              </w:rPr>
              <w:t xml:space="preserve">Production Champion</w:t>
            </w:r>
          </w:p>
        </w:tc>
      </w:tr>
    </w:tbl>
    <w:p>
      <w:pPr>
        <w:pStyle w:val="CaptionedFigure"/>
      </w:pPr>
      <w:r>
        <w:drawing>
          <wp:inline>
            <wp:extent cx="3467100" cy="1438299"/>
            <wp:effectExtent b="0" l="0" r="0" t="0"/>
            <wp:docPr descr="12-Week Holdout Forecast Error Comparison" title="" id="57" name="Picture"/>
            <a:graphic>
              <a:graphicData uri="http://schemas.openxmlformats.org/drawingml/2006/picture">
                <pic:pic>
                  <pic:nvPicPr>
                    <pic:cNvPr descr="../plots/06_model_error_comparison_barchart.png" id="58" name="Picture"/>
                    <pic:cNvPicPr>
                      <a:picLocks noChangeArrowheads="1" noChangeAspect="1"/>
                    </pic:cNvPicPr>
                  </pic:nvPicPr>
                  <pic:blipFill>
                    <a:blip r:embed="rId56"/>
                    <a:stretch>
                      <a:fillRect/>
                    </a:stretch>
                  </pic:blipFill>
                  <pic:spPr bwMode="auto">
                    <a:xfrm>
                      <a:off x="0" y="0"/>
                      <a:ext cx="3467100" cy="1438299"/>
                    </a:xfrm>
                    <a:prstGeom prst="rect">
                      <a:avLst/>
                    </a:prstGeom>
                    <a:noFill/>
                    <a:ln w="9525">
                      <a:noFill/>
                      <a:headEnd/>
                      <a:tailEnd/>
                    </a:ln>
                  </pic:spPr>
                </pic:pic>
              </a:graphicData>
            </a:graphic>
          </wp:inline>
        </w:drawing>
      </w:r>
    </w:p>
    <w:p>
      <w:pPr>
        <w:pStyle w:val="ImageCaption"/>
      </w:pPr>
      <w:r>
        <w:t xml:space="preserve">12-Week Holdout Forecast Error Comparison</w:t>
      </w:r>
    </w:p>
    <w:p>
      <w:pPr>
        <w:pStyle w:val="BlockText"/>
      </w:pPr>
      <w:r>
        <w:rPr>
          <w:b/>
          <w:bCs/>
        </w:rPr>
        <w:t xml:space="preserve">Analytical Takeaway</w:t>
      </w:r>
      <w:r>
        <w:t xml:space="preserve">: The Tuned Champion XGBoost model achieves the lowest RMSE ($49,140.51) and MAE ($33,619.68), reducing total forecast dollar error by</w:t>
      </w:r>
      <w:r>
        <w:t xml:space="preserve"> </w:t>
      </w:r>
      <w:r>
        <w:rPr>
          <w:b/>
          <w:bCs/>
        </w:rPr>
        <w:t xml:space="preserve">28.39%</w:t>
      </w:r>
      <w:r>
        <w:t xml:space="preserve"> </w:t>
      </w:r>
      <w:r>
        <w:t xml:space="preserve">over naive persistence.</w:t>
      </w:r>
    </w:p>
    <w:p>
      <w:r>
        <w:br w:type="page"/>
      </w:r>
    </w:p>
    <w:bookmarkEnd w:id="59"/>
    <w:bookmarkEnd w:id="60"/>
    <w:bookmarkStart w:id="71" w:name="inferences-from-the-same"/>
    <w:p>
      <w:pPr>
        <w:pStyle w:val="Heading1"/>
      </w:pPr>
      <w:r>
        <w:t xml:space="preserve">9. Inferences from the Same</w:t>
      </w:r>
    </w:p>
    <w:bookmarkStart w:id="64" w:name="X80f307557cff20abfd592d93454d1c61b7f75df"/>
    <w:p>
      <w:pPr>
        <w:pStyle w:val="Heading3"/>
      </w:pPr>
      <w:r>
        <w:t xml:space="preserve">9.1 Comparative Performance Summary &amp; Baseline Error Reduction</w:t>
      </w:r>
    </w:p>
    <w:p>
      <w:pPr>
        <w:pStyle w:val="FirstParagraph"/>
      </w:pPr>
      <w:r>
        <w:t xml:space="preserve">The out-of-sample evaluation confirms that gradient-boosted decision trees dramatically outperform both linear econometric models and naive persistence. By learning localized store-level demand elasticities, the XGBoost champion tracks complex dynamics across all volume tiers.</w:t>
      </w:r>
    </w:p>
    <w:p>
      <w:pPr>
        <w:pStyle w:val="CaptionedFigure"/>
      </w:pPr>
      <w:r>
        <w:drawing>
          <wp:inline>
            <wp:extent cx="3467100" cy="2718852"/>
            <wp:effectExtent b="0" l="0" r="0" t="0"/>
            <wp:docPr descr="Predicted vs. Actual Weekly Sales Trajectories Across Representative Outlets" title="" id="62" name="Picture"/>
            <a:graphic>
              <a:graphicData uri="http://schemas.openxmlformats.org/drawingml/2006/picture">
                <pic:pic>
                  <pic:nvPicPr>
                    <pic:cNvPr descr="../plots/07_predicted_vs_actual_12week_test.png" id="63" name="Picture"/>
                    <pic:cNvPicPr>
                      <a:picLocks noChangeArrowheads="1" noChangeAspect="1"/>
                    </pic:cNvPicPr>
                  </pic:nvPicPr>
                  <pic:blipFill>
                    <a:blip r:embed="rId61"/>
                    <a:stretch>
                      <a:fillRect/>
                    </a:stretch>
                  </pic:blipFill>
                  <pic:spPr bwMode="auto">
                    <a:xfrm>
                      <a:off x="0" y="0"/>
                      <a:ext cx="3467100" cy="2718852"/>
                    </a:xfrm>
                    <a:prstGeom prst="rect">
                      <a:avLst/>
                    </a:prstGeom>
                    <a:noFill/>
                    <a:ln w="9525">
                      <a:noFill/>
                      <a:headEnd/>
                      <a:tailEnd/>
                    </a:ln>
                  </pic:spPr>
                </pic:pic>
              </a:graphicData>
            </a:graphic>
          </wp:inline>
        </w:drawing>
      </w:r>
    </w:p>
    <w:p>
      <w:pPr>
        <w:pStyle w:val="ImageCaption"/>
      </w:pPr>
      <w:r>
        <w:t xml:space="preserve">Predicted vs. Actual Weekly Sales Trajectories Across Representative Outlets</w:t>
      </w:r>
    </w:p>
    <w:p>
      <w:pPr>
        <w:pStyle w:val="BlockText"/>
      </w:pPr>
      <w:r>
        <w:rPr>
          <w:b/>
          <w:bCs/>
        </w:rPr>
        <w:t xml:space="preserve">Analytical Takeaway</w:t>
      </w:r>
      <w:r>
        <w:t xml:space="preserve">: As displayed across representative high-volume (Store 4), mid-volume (Store 1), and boutique (Store 33) outlets, the model’s predicted trajectory closely tracks actual weekly sales movements, capturing localized store dynamics without systematic bias.</w:t>
      </w:r>
    </w:p>
    <w:p>
      <w:r>
        <w:br w:type="page"/>
      </w:r>
    </w:p>
    <w:bookmarkEnd w:id="64"/>
    <w:bookmarkStart w:id="65" w:name="Xee2033ed9efaf983e2ba82ac799801a2334f3f0"/>
    <w:p>
      <w:pPr>
        <w:pStyle w:val="Heading3"/>
      </w:pPr>
      <w:r>
        <w:t xml:space="preserve">9.2 Holiday Multipliers &amp; Promotional Lift Quantification</w:t>
      </w:r>
    </w:p>
    <w:p>
      <w:pPr>
        <w:pStyle w:val="FirstParagraph"/>
      </w:pPr>
      <w:r>
        <w:t xml:space="preserve">Quantifying holiday demand spikes is essential for procurement lead-times: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Holiday Event</w:t>
            </w:r>
          </w:p>
        </w:tc>
        <w:tc>
          <w:tcPr/>
          <w:p>
            <w:pPr>
              <w:pStyle w:val="Compact"/>
              <w:jc w:val="left"/>
            </w:pPr>
            <w:r>
              <w:t xml:space="preserve">Calendar Timing</w:t>
            </w:r>
          </w:p>
        </w:tc>
        <w:tc>
          <w:tcPr/>
          <w:p>
            <w:pPr>
              <w:pStyle w:val="Compact"/>
              <w:jc w:val="left"/>
            </w:pPr>
            <w:r>
              <w:t xml:space="preserve">Historical Mean Sales ($)</w:t>
            </w:r>
          </w:p>
        </w:tc>
        <w:tc>
          <w:tcPr/>
          <w:p>
            <w:pPr>
              <w:pStyle w:val="Compact"/>
              <w:jc w:val="left"/>
            </w:pPr>
            <w:r>
              <w:t xml:space="preserve">Uplift vs. Baseline</w:t>
            </w:r>
          </w:p>
        </w:tc>
        <w:tc>
          <w:tcPr/>
          <w:p>
            <w:pPr>
              <w:pStyle w:val="Compact"/>
              <w:jc w:val="left"/>
            </w:pPr>
            <w:r>
              <w:t xml:space="preserve">Inventory Action Mandate</w:t>
            </w:r>
          </w:p>
        </w:tc>
      </w:tr>
      <w:tr>
        <w:tc>
          <w:tcPr/>
          <w:p>
            <w:pPr>
              <w:pStyle w:val="Compact"/>
              <w:jc w:val="left"/>
            </w:pPr>
            <w:r>
              <w:rPr>
                <w:b/>
                <w:bCs/>
              </w:rPr>
              <w:t xml:space="preserve">Non-Holiday Baseline</w:t>
            </w:r>
          </w:p>
        </w:tc>
        <w:tc>
          <w:tcPr/>
          <w:p>
            <w:pPr>
              <w:pStyle w:val="Compact"/>
              <w:jc w:val="left"/>
            </w:pPr>
            <w:r>
              <w:t xml:space="preserve">Standard Cadence</w:t>
            </w:r>
          </w:p>
        </w:tc>
        <w:tc>
          <w:tcPr/>
          <w:p>
            <w:pPr>
              <w:pStyle w:val="Compact"/>
              <w:jc w:val="left"/>
            </w:pPr>
            <w:r>
              <w:t xml:space="preserve">$1,041,256</w:t>
            </w:r>
          </w:p>
        </w:tc>
        <w:tc>
          <w:tcPr/>
          <w:p>
            <w:pPr>
              <w:pStyle w:val="Compact"/>
              <w:jc w:val="left"/>
            </w:pPr>
            <w:r>
              <w:t xml:space="preserve">0.00%</w:t>
            </w:r>
          </w:p>
        </w:tc>
        <w:tc>
          <w:tcPr/>
          <w:p>
            <w:pPr>
              <w:pStyle w:val="Compact"/>
              <w:jc w:val="left"/>
            </w:pPr>
            <w:r>
              <w:t xml:space="preserve">Standard replenishment cycle</w:t>
            </w:r>
          </w:p>
        </w:tc>
      </w:tr>
      <w:tr>
        <w:tc>
          <w:tcPr/>
          <w:p>
            <w:pPr>
              <w:pStyle w:val="Compact"/>
              <w:jc w:val="left"/>
            </w:pPr>
            <w:r>
              <w:rPr>
                <w:b/>
                <w:bCs/>
              </w:rPr>
              <w:t xml:space="preserve">Super Bowl</w:t>
            </w:r>
          </w:p>
        </w:tc>
        <w:tc>
          <w:tcPr/>
          <w:p>
            <w:pPr>
              <w:pStyle w:val="Compact"/>
              <w:jc w:val="left"/>
            </w:pPr>
            <w:r>
              <w:t xml:space="preserve">Early February (Week 6)</w:t>
            </w:r>
          </w:p>
        </w:tc>
        <w:tc>
          <w:tcPr/>
          <w:p>
            <w:pPr>
              <w:pStyle w:val="Compact"/>
              <w:jc w:val="left"/>
            </w:pPr>
            <w:r>
              <w:t xml:space="preserve">$1,079,957</w:t>
            </w:r>
          </w:p>
        </w:tc>
        <w:tc>
          <w:tcPr/>
          <w:p>
            <w:pPr>
              <w:pStyle w:val="Compact"/>
              <w:jc w:val="left"/>
            </w:pPr>
            <w:r>
              <w:t xml:space="preserve">+3.72%</w:t>
            </w:r>
          </w:p>
        </w:tc>
        <w:tc>
          <w:tcPr/>
          <w:p>
            <w:pPr>
              <w:pStyle w:val="Compact"/>
              <w:jc w:val="left"/>
            </w:pPr>
            <w:r>
              <w:t xml:space="preserve">Snack and beverage forward staging</w:t>
            </w:r>
          </w:p>
        </w:tc>
      </w:tr>
      <w:tr>
        <w:tc>
          <w:tcPr/>
          <w:p>
            <w:pPr>
              <w:pStyle w:val="Compact"/>
              <w:jc w:val="left"/>
            </w:pPr>
            <w:r>
              <w:rPr>
                <w:b/>
                <w:bCs/>
              </w:rPr>
              <w:t xml:space="preserve">Labor Day</w:t>
            </w:r>
          </w:p>
        </w:tc>
        <w:tc>
          <w:tcPr/>
          <w:p>
            <w:pPr>
              <w:pStyle w:val="Compact"/>
              <w:jc w:val="left"/>
            </w:pPr>
            <w:r>
              <w:t xml:space="preserve">Early September (Week 36)</w:t>
            </w:r>
          </w:p>
        </w:tc>
        <w:tc>
          <w:tcPr/>
          <w:p>
            <w:pPr>
              <w:pStyle w:val="Compact"/>
              <w:jc w:val="left"/>
            </w:pPr>
            <w:r>
              <w:t xml:space="preserve">$1,042,427</w:t>
            </w:r>
          </w:p>
        </w:tc>
        <w:tc>
          <w:tcPr/>
          <w:p>
            <w:pPr>
              <w:pStyle w:val="Compact"/>
              <w:jc w:val="left"/>
            </w:pPr>
            <w:r>
              <w:t xml:space="preserve">+0.11%</w:t>
            </w:r>
          </w:p>
        </w:tc>
        <w:tc>
          <w:tcPr/>
          <w:p>
            <w:pPr>
              <w:pStyle w:val="Compact"/>
              <w:jc w:val="left"/>
            </w:pPr>
            <w:r>
              <w:t xml:space="preserve">Autumn transition stock buffering</w:t>
            </w:r>
          </w:p>
        </w:tc>
      </w:tr>
      <w:tr>
        <w:tc>
          <w:tcPr/>
          <w:p>
            <w:pPr>
              <w:pStyle w:val="Compact"/>
              <w:jc w:val="left"/>
            </w:pPr>
            <w:r>
              <w:rPr>
                <w:b/>
                <w:bCs/>
              </w:rPr>
              <w:t xml:space="preserve">Thanksgiving (Black Friday)</w:t>
            </w:r>
          </w:p>
        </w:tc>
        <w:tc>
          <w:tcPr/>
          <w:p>
            <w:pPr>
              <w:pStyle w:val="Compact"/>
              <w:jc w:val="left"/>
            </w:pPr>
            <w:r>
              <w:t xml:space="preserve">Late November (Week 47)</w:t>
            </w:r>
          </w:p>
        </w:tc>
        <w:tc>
          <w:tcPr/>
          <w:p>
            <w:pPr>
              <w:pStyle w:val="Compact"/>
              <w:jc w:val="left"/>
            </w:pPr>
            <w:r>
              <w:rPr>
                <w:b/>
                <w:bCs/>
              </w:rPr>
              <w:t xml:space="preserve">$1,471,273</w:t>
            </w:r>
          </w:p>
        </w:tc>
        <w:tc>
          <w:tcPr/>
          <w:p>
            <w:pPr>
              <w:pStyle w:val="Compact"/>
              <w:jc w:val="left"/>
            </w:pPr>
            <w:r>
              <w:rPr>
                <w:b/>
                <w:bCs/>
              </w:rPr>
              <w:t xml:space="preserve">+41.30%</w:t>
            </w:r>
          </w:p>
        </w:tc>
        <w:tc>
          <w:tcPr/>
          <w:p>
            <w:pPr>
              <w:pStyle w:val="Compact"/>
              <w:jc w:val="left"/>
            </w:pPr>
            <w:r>
              <w:t xml:space="preserve">Massive multi-echelon staging (4-week lead)</w:t>
            </w:r>
          </w:p>
        </w:tc>
      </w:tr>
      <w:tr>
        <w:tc>
          <w:tcPr/>
          <w:p>
            <w:pPr>
              <w:pStyle w:val="Compact"/>
              <w:jc w:val="left"/>
            </w:pPr>
            <w:r>
              <w:rPr>
                <w:b/>
                <w:bCs/>
              </w:rPr>
              <w:t xml:space="preserve">Christmas</w:t>
            </w:r>
          </w:p>
        </w:tc>
        <w:tc>
          <w:tcPr/>
          <w:p>
            <w:pPr>
              <w:pStyle w:val="Compact"/>
              <w:jc w:val="left"/>
            </w:pPr>
            <w:r>
              <w:t xml:space="preserve">Late December (Week 51/52)</w:t>
            </w:r>
          </w:p>
        </w:tc>
        <w:tc>
          <w:tcPr/>
          <w:p>
            <w:pPr>
              <w:pStyle w:val="Compact"/>
              <w:jc w:val="left"/>
            </w:pPr>
            <w:r>
              <w:rPr>
                <w:b/>
                <w:bCs/>
              </w:rPr>
              <w:t xml:space="preserve">$1,265,185</w:t>
            </w:r>
          </w:p>
        </w:tc>
        <w:tc>
          <w:tcPr/>
          <w:p>
            <w:pPr>
              <w:pStyle w:val="Compact"/>
              <w:jc w:val="left"/>
            </w:pPr>
            <w:r>
              <w:rPr>
                <w:b/>
                <w:bCs/>
              </w:rPr>
              <w:t xml:space="preserve">+21.51%</w:t>
            </w:r>
          </w:p>
        </w:tc>
        <w:tc>
          <w:tcPr/>
          <w:p>
            <w:pPr>
              <w:pStyle w:val="Compact"/>
              <w:jc w:val="left"/>
            </w:pPr>
            <w:r>
              <w:t xml:space="preserve">Peak Q4 holiday fulfillment buffering</w:t>
            </w:r>
          </w:p>
        </w:tc>
      </w:tr>
    </w:tbl>
    <w:p>
      <w:pPr>
        <w:pStyle w:val="BlockText"/>
      </w:pPr>
      <w:r>
        <w:rPr>
          <w:b/>
          <w:bCs/>
        </w:rPr>
        <w:t xml:space="preserve">Operational Impact</w:t>
      </w:r>
      <w:r>
        <w:t xml:space="preserve">: Thanksgiving driving an average</w:t>
      </w:r>
      <w:r>
        <w:t xml:space="preserve"> </w:t>
      </w:r>
      <w:r>
        <w:rPr>
          <w:b/>
          <w:bCs/>
        </w:rPr>
        <w:t xml:space="preserve">+41.30%</w:t>
      </w:r>
      <w:r>
        <w:t xml:space="preserve"> </w:t>
      </w:r>
      <w:r>
        <w:t xml:space="preserve">sales surge across all stores demands dedicated distribution center cross-docking and supplier pre-allocation 4 weeks prior to Week 47.</w:t>
      </w:r>
    </w:p>
    <w:p>
      <w:r>
        <w:br w:type="page"/>
      </w:r>
    </w:p>
    <w:bookmarkEnd w:id="65"/>
    <w:bookmarkStart w:id="66" w:name="X4ecda94354f85d3684ff9f3cc717f08070f8d88"/>
    <w:p>
      <w:pPr>
        <w:pStyle w:val="Heading3"/>
      </w:pPr>
      <w:r>
        <w:t xml:space="preserve">9.3 Store-Level Inventory Sizing: Safety Stock &amp; Dynamic Reorder Points</w:t>
      </w:r>
    </w:p>
    <w:p>
      <w:pPr>
        <w:pStyle w:val="FirstParagraph"/>
      </w:pPr>
      <w:r>
        <w:t xml:space="preserve">We bridge predictive point forecasts with physical logistics by computing store-specific safety stocks:</w:t>
      </w:r>
    </w:p>
    <w:p>
      <w:pPr>
        <w:pStyle w:val="BodyText"/>
      </w:pPr>
      <m:oMathPara>
        <m:oMathParaPr>
          <m:jc m:val="center"/>
        </m:oMathParaPr>
        <m:oMath>
          <m:r>
            <m:rPr>
              <m:nor/>
              <m:sty m:val="p"/>
            </m:rPr>
            <m:t>Safety Stock</m:t>
          </m:r>
          <m:r>
            <m:rPr>
              <m:sty m:val="p"/>
            </m:rPr>
            <m:t>=</m:t>
          </m:r>
          <m:sSub>
            <m:e>
              <m:r>
                <m:t>Z</m:t>
              </m:r>
            </m:e>
            <m:sub>
              <m:r>
                <m:t>α</m:t>
              </m:r>
            </m:sub>
          </m:sSub>
          <m:r>
            <m:rPr>
              <m:sty m:val="p"/>
            </m:rPr>
            <m:t>×</m:t>
          </m:r>
          <m:sSub>
            <m:e>
              <m:r>
                <m:rPr>
                  <m:nor/>
                  <m:sty m:val="p"/>
                </m:rPr>
                <m:t>RMSE</m:t>
              </m:r>
            </m:e>
            <m:sub>
              <m:r>
                <m:rPr>
                  <m:nor/>
                  <m:sty m:val="p"/>
                </m:rPr>
                <m:t>store</m:t>
              </m:r>
            </m:sub>
          </m:sSub>
          <m:r>
            <m:rPr>
              <m:sty m:val="p"/>
            </m:rPr>
            <m:t>×</m:t>
          </m:r>
          <m:rad>
            <m:radPr>
              <m:degHide m:val="on"/>
            </m:radPr>
            <m:deg/>
            <m:e>
              <m:r>
                <m:t>L</m:t>
              </m:r>
            </m:e>
          </m:rad>
          <m:r>
            <m:rPr>
              <m:sty m:val="p"/>
            </m:rPr>
            <m:t>,</m:t>
          </m:r>
          <m:r>
            <m:t> </m:t>
          </m:r>
          <m:r>
            <m:rPr>
              <m:nor/>
              <m:sty m:val="p"/>
            </m:rPr>
            <m:t>Reorder Point (ROP)</m:t>
          </m:r>
          <m:r>
            <m:rPr>
              <m:sty m:val="p"/>
            </m:rPr>
            <m:t>=</m:t>
          </m:r>
          <m:r>
            <m:rPr>
              <m:sty m:val="p"/>
            </m:rPr>
            <m:t>(</m:t>
          </m:r>
          <m:sSub>
            <m:e>
              <m:acc>
                <m:accPr>
                  <m:chr m:val="̂"/>
                </m:accPr>
                <m:e>
                  <m:r>
                    <m:t>d</m:t>
                  </m:r>
                </m:e>
              </m:acc>
            </m:e>
            <m:sub>
              <m:r>
                <m:rPr>
                  <m:nor/>
                  <m:sty m:val="p"/>
                </m:rPr>
                <m:t>store</m:t>
              </m:r>
            </m:sub>
          </m:sSub>
          <m:r>
            <m:rPr>
              <m:sty m:val="p"/>
            </m:rPr>
            <m:t>×</m:t>
          </m:r>
          <m:r>
            <m:t>L</m:t>
          </m:r>
          <m:r>
            <m:rPr>
              <m:sty m:val="p"/>
            </m:rPr>
            <m:t>)</m:t>
          </m:r>
          <m:r>
            <m:rPr>
              <m:sty m:val="p"/>
            </m:rPr>
            <m:t>+</m:t>
          </m:r>
          <m:r>
            <m:rPr>
              <m:nor/>
              <m:sty m:val="p"/>
            </m:rPr>
            <m:t>Safety Stock</m:t>
          </m:r>
        </m:oMath>
      </m:oMathPara>
    </w:p>
    <w:p>
      <w:pPr>
        <w:pStyle w:val="FirstParagraph"/>
      </w:pPr>
      <w:r>
        <w:t xml:space="preserve">where</w:t>
      </w:r>
      <w:r>
        <w:t xml:space="preserve"> </w:t>
      </w:r>
      <m:oMath>
        <m:sSub>
          <m:e>
            <m:r>
              <m:t>Z</m:t>
            </m:r>
          </m:e>
          <m:sub>
            <m:r>
              <m:t>0.95</m:t>
            </m:r>
          </m:sub>
        </m:sSub>
        <m:r>
          <m:rPr>
            <m:sty m:val="p"/>
          </m:rPr>
          <m:t>=</m:t>
        </m:r>
        <m:r>
          <m:t>1.645</m:t>
        </m:r>
      </m:oMath>
      <w:r>
        <w:t xml:space="preserve"> </w:t>
      </w:r>
      <w:r>
        <w:t xml:space="preserve">(95% service level),</w:t>
      </w:r>
      <w:r>
        <w:t xml:space="preserve"> </w:t>
      </w:r>
      <m:oMath>
        <m:sSub>
          <m:e>
            <m:r>
              <m:t>Z</m:t>
            </m:r>
          </m:e>
          <m:sub>
            <m:r>
              <m:t>0.98</m:t>
            </m:r>
          </m:sub>
        </m:sSub>
        <m:r>
          <m:rPr>
            <m:sty m:val="p"/>
          </m:rPr>
          <m:t>=</m:t>
        </m:r>
        <m:r>
          <m:t>2.054</m:t>
        </m:r>
      </m:oMath>
      <w:r>
        <w:t xml:space="preserve"> </w:t>
      </w:r>
      <w:r>
        <w:t xml:space="preserve">(98% service level), and</w:t>
      </w:r>
      <w:r>
        <w:t xml:space="preserve"> </w:t>
      </w:r>
      <m:oMath>
        <m:r>
          <m:t>L</m:t>
        </m:r>
        <m:r>
          <m:rPr>
            <m:sty m:val="p"/>
          </m:rPr>
          <m:t>=</m:t>
        </m:r>
        <m:r>
          <m:t>2</m:t>
        </m:r>
        <m:r>
          <m:rPr>
            <m:nor/>
            <m:sty m:val="p"/>
          </m:rPr>
          <m:t> weeks</m:t>
        </m:r>
      </m:oMath>
      <w:r>
        <w:t xml:space="preserve"> </w:t>
      </w:r>
      <w:r>
        <w:t xml:space="preserve">(supplier lead time).</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Store Tier Cohort</w:t>
            </w:r>
          </w:p>
        </w:tc>
        <w:tc>
          <w:tcPr/>
          <w:p>
            <w:pPr>
              <w:pStyle w:val="Compact"/>
              <w:jc w:val="center"/>
            </w:pPr>
            <w:r>
              <w:t xml:space="preserve">Store Count</w:t>
            </w:r>
          </w:p>
        </w:tc>
        <w:tc>
          <w:tcPr/>
          <w:p>
            <w:pPr>
              <w:pStyle w:val="Compact"/>
              <w:jc w:val="center"/>
            </w:pPr>
            <w:r>
              <w:t xml:space="preserve">Mean Sales ($)</w:t>
            </w:r>
          </w:p>
        </w:tc>
        <w:tc>
          <w:tcPr/>
          <w:p>
            <w:pPr>
              <w:pStyle w:val="Compact"/>
              <w:jc w:val="center"/>
            </w:pPr>
            <w:r>
              <w:t xml:space="preserve">Store RMSE ($)</w:t>
            </w:r>
          </w:p>
        </w:tc>
        <w:tc>
          <w:tcPr/>
          <w:p>
            <w:pPr>
              <w:pStyle w:val="Compact"/>
              <w:jc w:val="center"/>
            </w:pPr>
            <w:r>
              <w:t xml:space="preserve">Safety Stock (95%)</w:t>
            </w:r>
          </w:p>
        </w:tc>
        <w:tc>
          <w:tcPr/>
          <w:p>
            <w:pPr>
              <w:pStyle w:val="Compact"/>
              <w:jc w:val="center"/>
            </w:pPr>
            <w:r>
              <w:t xml:space="preserve">Dynamic ROP (95%)</w:t>
            </w:r>
          </w:p>
        </w:tc>
      </w:tr>
      <w:tr>
        <w:tc>
          <w:tcPr/>
          <w:p>
            <w:pPr>
              <w:pStyle w:val="Compact"/>
              <w:jc w:val="left"/>
            </w:pPr>
            <w:r>
              <w:rPr>
                <w:b/>
                <w:bCs/>
              </w:rPr>
              <w:t xml:space="preserve">Tier 1 (Flagship Hypermarkets)</w:t>
            </w:r>
          </w:p>
        </w:tc>
        <w:tc>
          <w:tcPr/>
          <w:p>
            <w:pPr>
              <w:pStyle w:val="Compact"/>
              <w:jc w:val="center"/>
            </w:pPr>
            <w:r>
              <w:t xml:space="preserve">10</w:t>
            </w:r>
          </w:p>
        </w:tc>
        <w:tc>
          <w:tcPr/>
          <w:p>
            <w:pPr>
              <w:pStyle w:val="Compact"/>
              <w:jc w:val="center"/>
            </w:pPr>
            <w:r>
              <w:t xml:space="preserve">$2,014,320</w:t>
            </w:r>
          </w:p>
        </w:tc>
        <w:tc>
          <w:tcPr/>
          <w:p>
            <w:pPr>
              <w:pStyle w:val="Compact"/>
              <w:jc w:val="center"/>
            </w:pPr>
            <w:r>
              <w:t xml:space="preserve">$78,410</w:t>
            </w:r>
          </w:p>
        </w:tc>
        <w:tc>
          <w:tcPr/>
          <w:p>
            <w:pPr>
              <w:pStyle w:val="Compact"/>
              <w:jc w:val="center"/>
            </w:pPr>
            <w:r>
              <w:t xml:space="preserve">$182,410</w:t>
            </w:r>
          </w:p>
        </w:tc>
        <w:tc>
          <w:tcPr/>
          <w:p>
            <w:pPr>
              <w:pStyle w:val="Compact"/>
              <w:jc w:val="center"/>
            </w:pPr>
            <w:r>
              <w:t xml:space="preserve">$4,211,050</w:t>
            </w:r>
          </w:p>
        </w:tc>
      </w:tr>
      <w:tr>
        <w:tc>
          <w:tcPr/>
          <w:p>
            <w:pPr>
              <w:pStyle w:val="Compact"/>
              <w:jc w:val="left"/>
            </w:pPr>
            <w:r>
              <w:rPr>
                <w:b/>
                <w:bCs/>
              </w:rPr>
              <w:t xml:space="preserve">Tier 2 (Mid-Volume Centers)</w:t>
            </w:r>
          </w:p>
        </w:tc>
        <w:tc>
          <w:tcPr/>
          <w:p>
            <w:pPr>
              <w:pStyle w:val="Compact"/>
              <w:jc w:val="center"/>
            </w:pPr>
            <w:r>
              <w:t xml:space="preserve">25</w:t>
            </w:r>
          </w:p>
        </w:tc>
        <w:tc>
          <w:tcPr/>
          <w:p>
            <w:pPr>
              <w:pStyle w:val="Compact"/>
              <w:jc w:val="center"/>
            </w:pPr>
            <w:r>
              <w:t xml:space="preserve">$1,120,450</w:t>
            </w:r>
          </w:p>
        </w:tc>
        <w:tc>
          <w:tcPr/>
          <w:p>
            <w:pPr>
              <w:pStyle w:val="Compact"/>
              <w:jc w:val="center"/>
            </w:pPr>
            <w:r>
              <w:t xml:space="preserve">$44,120</w:t>
            </w:r>
          </w:p>
        </w:tc>
        <w:tc>
          <w:tcPr/>
          <w:p>
            <w:pPr>
              <w:pStyle w:val="Compact"/>
              <w:jc w:val="center"/>
            </w:pPr>
            <w:r>
              <w:t xml:space="preserve">$102,630</w:t>
            </w:r>
          </w:p>
        </w:tc>
        <w:tc>
          <w:tcPr/>
          <w:p>
            <w:pPr>
              <w:pStyle w:val="Compact"/>
              <w:jc w:val="center"/>
            </w:pPr>
            <w:r>
              <w:t xml:space="preserve">$2,343,530</w:t>
            </w:r>
          </w:p>
        </w:tc>
      </w:tr>
      <w:tr>
        <w:tc>
          <w:tcPr/>
          <w:p>
            <w:pPr>
              <w:pStyle w:val="Compact"/>
              <w:jc w:val="left"/>
            </w:pPr>
            <w:r>
              <w:rPr>
                <w:b/>
                <w:bCs/>
              </w:rPr>
              <w:t xml:space="preserve">Tier 3 (Boutique Outlets)</w:t>
            </w:r>
          </w:p>
        </w:tc>
        <w:tc>
          <w:tcPr/>
          <w:p>
            <w:pPr>
              <w:pStyle w:val="Compact"/>
              <w:jc w:val="center"/>
            </w:pPr>
            <w:r>
              <w:t xml:space="preserve">10</w:t>
            </w:r>
          </w:p>
        </w:tc>
        <w:tc>
          <w:tcPr/>
          <w:p>
            <w:pPr>
              <w:pStyle w:val="Compact"/>
              <w:jc w:val="center"/>
            </w:pPr>
            <w:r>
              <w:t xml:space="preserve">$380,120</w:t>
            </w:r>
          </w:p>
        </w:tc>
        <w:tc>
          <w:tcPr/>
          <w:p>
            <w:pPr>
              <w:pStyle w:val="Compact"/>
              <w:jc w:val="center"/>
            </w:pPr>
            <w:r>
              <w:t xml:space="preserve">$18,950</w:t>
            </w:r>
          </w:p>
        </w:tc>
        <w:tc>
          <w:tcPr/>
          <w:p>
            <w:pPr>
              <w:pStyle w:val="Compact"/>
              <w:jc w:val="center"/>
            </w:pPr>
            <w:r>
              <w:t xml:space="preserve">$44,080</w:t>
            </w:r>
          </w:p>
        </w:tc>
        <w:tc>
          <w:tcPr/>
          <w:p>
            <w:pPr>
              <w:pStyle w:val="Compact"/>
              <w:jc w:val="center"/>
            </w:pPr>
            <w:r>
              <w:t xml:space="preserve">$804,320</w:t>
            </w:r>
          </w:p>
        </w:tc>
      </w:tr>
    </w:tbl>
    <w:p>
      <w:pPr>
        <w:pStyle w:val="BlockText"/>
      </w:pPr>
      <w:r>
        <w:rPr>
          <w:b/>
          <w:bCs/>
        </w:rPr>
        <w:t xml:space="preserve">Calibrated Prediction Intervals</w:t>
      </w:r>
      <w:r>
        <w:t xml:space="preserve">: Out-of-fold cross-validation residual distribution generates a 90% prediction interval (evaluated to</w:t>
      </w:r>
      <w:r>
        <w:t xml:space="preserve"> </w:t>
      </w:r>
      <w:r>
        <w:rPr>
          <w:b/>
          <w:bCs/>
        </w:rPr>
        <w:t xml:space="preserve">91.30% empirical coverage</w:t>
      </w:r>
      <w:r>
        <w:t xml:space="preserve"> </w:t>
      </w:r>
      <w:r>
        <w:t xml:space="preserve">on untouched test holdout). This empirical calibration ensures guaranteed probabilistic replenishment thresholds without assuming normal error distributions.</w:t>
      </w:r>
    </w:p>
    <w:p>
      <w:r>
        <w:br w:type="page"/>
      </w:r>
    </w:p>
    <w:bookmarkEnd w:id="66"/>
    <w:bookmarkStart w:id="70" w:name="X424540fa81e093bb318c71f54aa7c072dbb09ed"/>
    <w:p>
      <w:pPr>
        <w:pStyle w:val="Heading3"/>
      </w:pPr>
      <w:r>
        <w:t xml:space="preserve">9.4 Forward 12-Week Projections (November 2012 to January 2013)</w:t>
      </w:r>
    </w:p>
    <w:p>
      <w:pPr>
        <w:pStyle w:val="FirstParagraph"/>
      </w:pPr>
      <w:r>
        <w:t xml:space="preserve">The champion model was deployed to generate weekly forecasts for all 45 stores across the critical Q4 holiday planning horizon (November 2, 2012 to January 18, 2013; 540 store-week predictions):</w:t>
      </w:r>
    </w:p>
    <w:p>
      <w:pPr>
        <w:pStyle w:val="CaptionedFigure"/>
      </w:pPr>
      <w:r>
        <w:drawing>
          <wp:inline>
            <wp:extent cx="3627120" cy="1535556"/>
            <wp:effectExtent b="0" l="0" r="0" t="0"/>
            <wp:docPr descr="Forward 12-Week Store Sales Forecasts" title="" id="68" name="Picture"/>
            <a:graphic>
              <a:graphicData uri="http://schemas.openxmlformats.org/drawingml/2006/picture">
                <pic:pic>
                  <pic:nvPicPr>
                    <pic:cNvPr descr="../plots/08_forward_12week_store_forecasts.png" id="69" name="Picture"/>
                    <pic:cNvPicPr>
                      <a:picLocks noChangeArrowheads="1" noChangeAspect="1"/>
                    </pic:cNvPicPr>
                  </pic:nvPicPr>
                  <pic:blipFill>
                    <a:blip r:embed="rId67"/>
                    <a:stretch>
                      <a:fillRect/>
                    </a:stretch>
                  </pic:blipFill>
                  <pic:spPr bwMode="auto">
                    <a:xfrm>
                      <a:off x="0" y="0"/>
                      <a:ext cx="3627120" cy="1535556"/>
                    </a:xfrm>
                    <a:prstGeom prst="rect">
                      <a:avLst/>
                    </a:prstGeom>
                    <a:noFill/>
                    <a:ln w="9525">
                      <a:noFill/>
                      <a:headEnd/>
                      <a:tailEnd/>
                    </a:ln>
                  </pic:spPr>
                </pic:pic>
              </a:graphicData>
            </a:graphic>
          </wp:inline>
        </w:drawing>
      </w:r>
    </w:p>
    <w:p>
      <w:pPr>
        <w:pStyle w:val="ImageCaption"/>
      </w:pPr>
      <w:r>
        <w:t xml:space="preserve">Forward 12-Week Store Sales Forecasts</w:t>
      </w:r>
    </w:p>
    <w:p>
      <w:pPr>
        <w:pStyle w:val="BlockText"/>
      </w:pPr>
      <w:r>
        <w:rPr>
          <w:b/>
          <w:bCs/>
        </w:rPr>
        <w:t xml:space="preserve">Analytical Takeaway</w:t>
      </w:r>
      <w:r>
        <w:t xml:space="preserve">: The forward projections capture the explosive Thanksgiving and Christmas retail surges with precision. Forecasted sales accelerate dramatically during Week 47 (reaching &gt;$80M nationally), before tapering in January. Point forecasts and calibrated 90% prediction intervals are preserved in</w:t>
      </w:r>
      <w:r>
        <w:t xml:space="preserve"> </w:t>
      </w:r>
      <w:r>
        <w:rPr>
          <w:rStyle w:val="VerbatimChar"/>
        </w:rPr>
        <w:t xml:space="preserve">capstone_1_walmart/data_processed/forward_12week-forecast01.csv</w:t>
      </w:r>
      <w:r>
        <w:t xml:space="preserve">.</w:t>
      </w:r>
    </w:p>
    <w:p>
      <w:r>
        <w:br w:type="page"/>
      </w:r>
    </w:p>
    <w:bookmarkEnd w:id="70"/>
    <w:bookmarkEnd w:id="71"/>
    <w:bookmarkStart w:id="75" w:name="future-possibilities-of-the-project"/>
    <w:p>
      <w:pPr>
        <w:pStyle w:val="Heading1"/>
      </w:pPr>
      <w:r>
        <w:t xml:space="preserve">10. Future Possibilities of the Project</w:t>
      </w:r>
    </w:p>
    <w:bookmarkStart w:id="72" w:name="X4c7229eecadefe91c18f5288406a16da9a5b93c"/>
    <w:p>
      <w:pPr>
        <w:pStyle w:val="Heading3"/>
      </w:pPr>
      <w:r>
        <w:t xml:space="preserve">10.1 Department-Level SKU Hierarchical Forecasting</w:t>
      </w:r>
    </w:p>
    <w:p>
      <w:pPr>
        <w:pStyle w:val="FirstParagraph"/>
      </w:pPr>
      <w:r>
        <w:t xml:space="preserve">While store-level sales demand provides central leadership with aggregate logistical requirements, floor-level operations require department-level granularity:</w:t>
      </w:r>
      <w:r>
        <w:t xml:space="preserve"> </w:t>
      </w:r>
      <w:r>
        <w:t xml:space="preserve">-</w:t>
      </w:r>
      <w:r>
        <w:t xml:space="preserve"> </w:t>
      </w:r>
      <w:r>
        <w:rPr>
          <w:b/>
          <w:bCs/>
        </w:rPr>
        <w:t xml:space="preserve">Hierarchical Reconciliation (MinT / Bottom-Up)</w:t>
      </w:r>
      <w:r>
        <w:t xml:space="preserve">: Reconciling forecasts across Department</w:t>
      </w:r>
      <w:r>
        <w:t xml:space="preserve"> </w:t>
      </w:r>
      <m:oMath>
        <m:r>
          <m:rPr>
            <m:sty m:val="p"/>
          </m:rPr>
          <m:t>→</m:t>
        </m:r>
      </m:oMath>
      <w:r>
        <w:t xml:space="preserve"> </w:t>
      </w:r>
      <w:r>
        <w:t xml:space="preserve">Store</w:t>
      </w:r>
      <w:r>
        <w:t xml:space="preserve"> </w:t>
      </w:r>
      <m:oMath>
        <m:r>
          <m:rPr>
            <m:sty m:val="p"/>
          </m:rPr>
          <m:t>→</m:t>
        </m:r>
      </m:oMath>
      <w:r>
        <w:t xml:space="preserve"> </w:t>
      </w:r>
      <w:r>
        <w:t xml:space="preserve">Region</w:t>
      </w:r>
      <w:r>
        <w:t xml:space="preserve"> </w:t>
      </w:r>
      <m:oMath>
        <m:r>
          <m:rPr>
            <m:sty m:val="p"/>
          </m:rPr>
          <m:t>→</m:t>
        </m:r>
      </m:oMath>
      <w:r>
        <w:t xml:space="preserve"> </w:t>
      </w:r>
      <w:r>
        <w:t xml:space="preserve">National levels guarantees mathematical coherence across all administrative echelons.</w:t>
      </w:r>
      <w:r>
        <w:t xml:space="preserve"> </w:t>
      </w:r>
      <w:r>
        <w:t xml:space="preserve">-</w:t>
      </w:r>
      <w:r>
        <w:t xml:space="preserve"> </w:t>
      </w:r>
      <w:r>
        <w:rPr>
          <w:b/>
          <w:bCs/>
        </w:rPr>
        <w:t xml:space="preserve">Inter-Department Cannibalization</w:t>
      </w:r>
      <w:r>
        <w:t xml:space="preserve">: Modeling product cross-elasticity (e.g., promotions in Electronics altering footfall in Apparel).</w:t>
      </w:r>
    </w:p>
    <w:bookmarkEnd w:id="72"/>
    <w:bookmarkStart w:id="73" w:name="X516b2bf58ddfb0de3aeb7ccdefe0e3f9eb2c066"/>
    <w:p>
      <w:pPr>
        <w:pStyle w:val="Heading3"/>
      </w:pPr>
      <w:r>
        <w:t xml:space="preserve">10.2 External Supply Chain Shock &amp; Weather Nowcasting Ingestion</w:t>
      </w:r>
    </w:p>
    <w:p>
      <w:pPr>
        <w:pStyle w:val="FirstParagraph"/>
      </w:pPr>
      <w:r>
        <w:t xml:space="preserve">Integrating real-time high-resolution exogenous datasets would substantially boost forecasting accuracy during weather extremes:</w:t>
      </w:r>
      <w:r>
        <w:t xml:space="preserve"> </w:t>
      </w:r>
      <w:r>
        <w:t xml:space="preserve">-</w:t>
      </w:r>
      <w:r>
        <w:t xml:space="preserve"> </w:t>
      </w:r>
      <w:r>
        <w:rPr>
          <w:b/>
          <w:bCs/>
        </w:rPr>
        <w:t xml:space="preserve">NOAA Severe Weather Feeds</w:t>
      </w:r>
      <w:r>
        <w:t xml:space="preserve">: Blizzard and hurricane tracking to dynamically trigger pre-storm pantry-loading stock adjustments.</w:t>
      </w:r>
      <w:r>
        <w:t xml:space="preserve"> </w:t>
      </w:r>
      <w:r>
        <w:t xml:space="preserve">-</w:t>
      </w:r>
      <w:r>
        <w:t xml:space="preserve"> </w:t>
      </w:r>
      <w:r>
        <w:rPr>
          <w:b/>
          <w:bCs/>
        </w:rPr>
        <w:t xml:space="preserve">Localized Gas Station Price APIs</w:t>
      </w:r>
      <w:r>
        <w:t xml:space="preserve">: Scraping local retail fuel competitor pricing to model micro-demographic purchasing power shifts.</w:t>
      </w:r>
    </w:p>
    <w:bookmarkEnd w:id="73"/>
    <w:bookmarkStart w:id="74" w:name="X1d12106012f1ead07144bbdcfd90b996898122e"/>
    <w:p>
      <w:pPr>
        <w:pStyle w:val="Heading3"/>
      </w:pPr>
      <w:r>
        <w:t xml:space="preserve">10.3 Dynamic Multi-Echelon Reorder Point Optimization</w:t>
      </w:r>
    </w:p>
    <w:p>
      <w:pPr>
        <w:pStyle w:val="FirstParagraph"/>
      </w:pPr>
      <w:r>
        <w:t xml:space="preserve">Transitioning from single-location safety stock buffers to a network-wide multi-echelon inventory optimization (MEIO) engine:</w:t>
      </w:r>
      <w:r>
        <w:t xml:space="preserve"> </w:t>
      </w:r>
      <w:r>
        <w:t xml:space="preserve">-</w:t>
      </w:r>
      <w:r>
        <w:t xml:space="preserve"> </w:t>
      </w:r>
      <w:r>
        <w:rPr>
          <w:b/>
          <w:bCs/>
        </w:rPr>
        <w:t xml:space="preserve">Regional Distribution Center (DC) Buffering</w:t>
      </w:r>
      <w:r>
        <w:t xml:space="preserve">: Pooling safety stock at central hubs reduces aggregate safety stock requirements by 15-20% through risk pooling.</w:t>
      </w:r>
      <w:r>
        <w:t xml:space="preserve"> </w:t>
      </w:r>
      <w:r>
        <w:t xml:space="preserve">-</w:t>
      </w:r>
      <w:r>
        <w:t xml:space="preserve"> </w:t>
      </w:r>
      <w:r>
        <w:rPr>
          <w:b/>
          <w:bCs/>
        </w:rPr>
        <w:t xml:space="preserve">Automated Purchase Order Generation</w:t>
      </w:r>
      <w:r>
        <w:t xml:space="preserve">: Directly integrating ROP triggers with enterprise ERP systems (SAP, Oracle) for touchless automated supplier replenishment.</w:t>
      </w:r>
    </w:p>
    <w:p>
      <w:r>
        <w:br w:type="page"/>
      </w:r>
    </w:p>
    <w:bookmarkEnd w:id="74"/>
    <w:bookmarkEnd w:id="75"/>
    <w:bookmarkStart w:id="78" w:name="conclusion"/>
    <w:p>
      <w:pPr>
        <w:pStyle w:val="Heading1"/>
      </w:pPr>
      <w:r>
        <w:t xml:space="preserve">11. Conclusion</w:t>
      </w:r>
    </w:p>
    <w:bookmarkStart w:id="76" w:name="X3651416c127f2bf7d7ed6bb264a156757a66342"/>
    <w:p>
      <w:pPr>
        <w:pStyle w:val="Heading3"/>
      </w:pPr>
      <w:r>
        <w:t xml:space="preserve">11.1 Executive Synthesis &amp; Empirical Achievements</w:t>
      </w:r>
    </w:p>
    <w:p>
      <w:pPr>
        <w:pStyle w:val="FirstParagraph"/>
      </w:pPr>
      <w:r>
        <w:t xml:space="preserve">This capstone research successfully formulated and validated a production-grade machine learning architecture for multi-store retail sales demand forecasting and inventory optimization. By training a gradient-boosted decision tree ensemble across 45 stores and 143 weeks, our champion model achieves:</w:t>
      </w:r>
      <w:r>
        <w:t xml:space="preserve"> </w:t>
      </w:r>
      <w:r>
        <w:t xml:space="preserve">-</w:t>
      </w:r>
      <w:r>
        <w:t xml:space="preserve"> </w:t>
      </w:r>
      <w:r>
        <w:rPr>
          <w:b/>
          <w:bCs/>
        </w:rPr>
        <w:t xml:space="preserve">Superior Forecast Precision</w:t>
      </w:r>
      <w:r>
        <w:t xml:space="preserve">: Out-of-sample RMSE of</w:t>
      </w:r>
      <w:r>
        <w:t xml:space="preserve"> </w:t>
      </w:r>
      <w:r>
        <w:rPr>
          <w:b/>
          <w:bCs/>
        </w:rPr>
        <w:t xml:space="preserve">$49,140.51</w:t>
      </w:r>
      <w:r>
        <w:t xml:space="preserve"> </w:t>
      </w:r>
      <w:r>
        <w:t xml:space="preserve">and WAPE of</w:t>
      </w:r>
      <w:r>
        <w:t xml:space="preserve"> </w:t>
      </w:r>
      <w:r>
        <w:rPr>
          <w:b/>
          <w:bCs/>
        </w:rPr>
        <w:t xml:space="preserve">3.27%</w:t>
      </w:r>
      <w:r>
        <w:t xml:space="preserve">, outperforming naive persistence by</w:t>
      </w:r>
      <w:r>
        <w:t xml:space="preserve"> </w:t>
      </w:r>
      <w:r>
        <w:rPr>
          <w:b/>
          <w:bCs/>
        </w:rPr>
        <w:t xml:space="preserve">28.39%</w:t>
      </w:r>
      <w:r>
        <w:t xml:space="preserve">.</w:t>
      </w:r>
      <w:r>
        <w:t xml:space="preserve"> </w:t>
      </w:r>
      <w:r>
        <w:t xml:space="preserve">-</w:t>
      </w:r>
      <w:r>
        <w:t xml:space="preserve"> </w:t>
      </w:r>
      <w:r>
        <w:rPr>
          <w:b/>
          <w:bCs/>
        </w:rPr>
        <w:t xml:space="preserve">Validated Cross-Validation</w:t>
      </w:r>
      <w:r>
        <w:t xml:space="preserve">: Candidate 3 selected strictly on expanding-window CV (CV RMSE</w:t>
      </w:r>
      <w:r>
        <w:t xml:space="preserve"> </w:t>
      </w:r>
      <w:r>
        <w:rPr>
          <w:b/>
          <w:bCs/>
        </w:rPr>
        <w:t xml:space="preserve">$77,896.79</w:t>
      </w:r>
      <w:r>
        <w:t xml:space="preserve">, CV WAPE</w:t>
      </w:r>
      <w:r>
        <w:t xml:space="preserve"> </w:t>
      </w:r>
      <w:r>
        <w:rPr>
          <w:b/>
          <w:bCs/>
        </w:rPr>
        <w:t xml:space="preserve">4.66%</w:t>
      </w:r>
      <w:r>
        <w:t xml:space="preserve">).</w:t>
      </w:r>
      <w:r>
        <w:t xml:space="preserve"> </w:t>
      </w:r>
      <w:r>
        <w:t xml:space="preserve">-</w:t>
      </w:r>
      <w:r>
        <w:t xml:space="preserve"> </w:t>
      </w:r>
      <w:r>
        <w:rPr>
          <w:b/>
          <w:bCs/>
        </w:rPr>
        <w:t xml:space="preserve">Guaranteed Service Levels</w:t>
      </w:r>
      <w:r>
        <w:t xml:space="preserve">: Mathematically derived safety stock buffers ensuring</w:t>
      </w:r>
      <w:r>
        <w:t xml:space="preserve"> </w:t>
      </w:r>
      <w:r>
        <w:rPr>
          <w:b/>
          <w:bCs/>
        </w:rPr>
        <w:t xml:space="preserve">95% to 98% On-Shelf Availability</w:t>
      </w:r>
      <w:r>
        <w:t xml:space="preserve"> </w:t>
      </w:r>
      <w:r>
        <w:t xml:space="preserve">while preventing excess holding costs.</w:t>
      </w:r>
      <w:r>
        <w:t xml:space="preserve"> </w:t>
      </w:r>
      <w:r>
        <w:t xml:space="preserve">-</w:t>
      </w:r>
      <w:r>
        <w:t xml:space="preserve"> </w:t>
      </w:r>
      <w:r>
        <w:rPr>
          <w:b/>
          <w:bCs/>
        </w:rPr>
        <w:t xml:space="preserve">Calibrated Prediction Intervals</w:t>
      </w:r>
      <w:r>
        <w:t xml:space="preserve">: CV residual distribution yields 90% prediction intervals with</w:t>
      </w:r>
      <w:r>
        <w:t xml:space="preserve"> </w:t>
      </w:r>
      <w:r>
        <w:rPr>
          <w:b/>
          <w:bCs/>
        </w:rPr>
        <w:t xml:space="preserve">91.30% empirical coverage</w:t>
      </w:r>
      <w:r>
        <w:t xml:space="preserve"> </w:t>
      </w:r>
      <w:r>
        <w:t xml:space="preserve">on the test holdout.</w:t>
      </w:r>
    </w:p>
    <w:bookmarkEnd w:id="76"/>
    <w:bookmarkStart w:id="77" w:name="operational-implementation-roadmap"/>
    <w:p>
      <w:pPr>
        <w:pStyle w:val="Heading3"/>
      </w:pPr>
      <w:r>
        <w:t xml:space="preserve">11.2 Operational Implementation Roadmap</w:t>
      </w:r>
    </w:p>
    <w:p>
      <w:pPr>
        <w:pStyle w:val="FirstParagraph"/>
      </w:pPr>
      <w:r>
        <w:t xml:space="preserve">To deploy this architecture into production enterprise workflows:</w:t>
      </w:r>
      <w:r>
        <w:t xml:space="preserve"> </w:t>
      </w:r>
      <w:r>
        <w:t xml:space="preserve">1.</w:t>
      </w:r>
      <w:r>
        <w:t xml:space="preserve"> </w:t>
      </w:r>
      <w:r>
        <w:rPr>
          <w:b/>
          <w:bCs/>
        </w:rPr>
        <w:t xml:space="preserve">Phase 1 (Weeks 1-2) - Automated Ingestion Pipeline</w:t>
      </w:r>
      <w:r>
        <w:t xml:space="preserve">: Establish automated ETL connectors between store POS systems and the feature engineering pipeline.</w:t>
      </w:r>
      <w:r>
        <w:t xml:space="preserve"> </w:t>
      </w:r>
      <w:r>
        <w:t xml:space="preserve">2.</w:t>
      </w:r>
      <w:r>
        <w:t xml:space="preserve"> </w:t>
      </w:r>
      <w:r>
        <w:rPr>
          <w:b/>
          <w:bCs/>
        </w:rPr>
        <w:t xml:space="preserve">Phase 2 (Weeks 3-4) - Shadow Deployment</w:t>
      </w:r>
      <w:r>
        <w:t xml:space="preserve">: Run the champion XGBoost model in shadow mode alongside legacy manual planning systems to validate store manager usability.</w:t>
      </w:r>
      <w:r>
        <w:t xml:space="preserve"> </w:t>
      </w:r>
      <w:r>
        <w:t xml:space="preserve">3.</w:t>
      </w:r>
      <w:r>
        <w:t xml:space="preserve"> </w:t>
      </w:r>
      <w:r>
        <w:rPr>
          <w:b/>
          <w:bCs/>
        </w:rPr>
        <w:t xml:space="preserve">Phase 3 (Weeks 5+) - Touchless ERP Replenishment</w:t>
      </w:r>
      <w:r>
        <w:t xml:space="preserve">: Integrate dynamic ROP triggers directly into procurement workflows, unlocking automated supplier purchase orders.</w:t>
      </w:r>
    </w:p>
    <w:p>
      <w:pPr>
        <w:pStyle w:val="BodyText"/>
      </w:pPr>
      <w:r>
        <w:t xml:space="preserve">All pipeline code, versioned data matrices, serialized models, and high-resolution plots are fully preserved within the repository artifact structure.</w:t>
      </w:r>
    </w:p>
    <w:p>
      <w:r>
        <w:br w:type="page"/>
      </w:r>
    </w:p>
    <w:bookmarkEnd w:id="77"/>
    <w:bookmarkEnd w:id="78"/>
    <w:bookmarkStart w:id="79" w:name="references"/>
    <w:p>
      <w:pPr>
        <w:pStyle w:val="Heading1"/>
      </w:pPr>
      <w:r>
        <w:t xml:space="preserve">12. References</w:t>
      </w:r>
    </w:p>
    <w:p>
      <w:pPr>
        <w:pStyle w:val="Compact"/>
        <w:numPr>
          <w:ilvl w:val="0"/>
          <w:numId w:val="1002"/>
        </w:numPr>
      </w:pPr>
      <w:r>
        <w:rPr>
          <w:b/>
          <w:bCs/>
        </w:rPr>
        <w:t xml:space="preserve">Box, G. E., Jenkins, G. M., Reinsel, G. C., &amp; Ljung, G. M.</w:t>
      </w:r>
      <w:r>
        <w:t xml:space="preserve"> </w:t>
      </w:r>
      <w:r>
        <w:t xml:space="preserve">(2015).</w:t>
      </w:r>
      <w:r>
        <w:t xml:space="preserve"> </w:t>
      </w:r>
      <w:r>
        <w:rPr>
          <w:i/>
          <w:iCs/>
        </w:rPr>
        <w:t xml:space="preserve">Time Series Analysis: Forecasting and Control</w:t>
      </w:r>
      <w:r>
        <w:t xml:space="preserve"> </w:t>
      </w:r>
      <w:r>
        <w:t xml:space="preserve">(5th ed.). John Wiley &amp; Sons.</w:t>
      </w:r>
    </w:p>
    <w:p>
      <w:pPr>
        <w:pStyle w:val="Compact"/>
        <w:numPr>
          <w:ilvl w:val="0"/>
          <w:numId w:val="1002"/>
        </w:numPr>
      </w:pPr>
      <w:r>
        <w:rPr>
          <w:b/>
          <w:bCs/>
        </w:rPr>
        <w:t xml:space="preserve">Breiman, L.</w:t>
      </w:r>
      <w:r>
        <w:t xml:space="preserve"> </w:t>
      </w:r>
      <w:r>
        <w:t xml:space="preserve">(2001). Random Forests.</w:t>
      </w:r>
      <w:r>
        <w:t xml:space="preserve"> </w:t>
      </w:r>
      <w:r>
        <w:rPr>
          <w:i/>
          <w:iCs/>
        </w:rPr>
        <w:t xml:space="preserve">Machine Learning</w:t>
      </w:r>
      <w:r>
        <w:t xml:space="preserve">, 45(1), 5-32. https://doi.org/10.1023/A:1010933404324</w:t>
      </w:r>
    </w:p>
    <w:p>
      <w:pPr>
        <w:pStyle w:val="Compact"/>
        <w:numPr>
          <w:ilvl w:val="0"/>
          <w:numId w:val="1002"/>
        </w:numPr>
      </w:pPr>
      <w:r>
        <w:rPr>
          <w:b/>
          <w:bCs/>
        </w:rPr>
        <w:t xml:space="preserve">Chen, T., &amp; Guestrin, C.</w:t>
      </w:r>
      <w:r>
        <w:t xml:space="preserve"> </w:t>
      </w:r>
      <w:r>
        <w:t xml:space="preserve">(2016). XGBoost: A Scalable Tree Boosting System. In</w:t>
      </w:r>
      <w:r>
        <w:t xml:space="preserve"> </w:t>
      </w:r>
      <w:r>
        <w:rPr>
          <w:i/>
          <w:iCs/>
        </w:rPr>
        <w:t xml:space="preserve">Proceedings of the 22nd ACM SIGKDD International Conference on Knowledge Discovery and Data Mining</w:t>
      </w:r>
      <w:r>
        <w:t xml:space="preserve"> </w:t>
      </w:r>
      <w:r>
        <w:t xml:space="preserve">(pp. 785-794). ACM. https://doi.org/10.1145/2939672.2939785</w:t>
      </w:r>
    </w:p>
    <w:p>
      <w:pPr>
        <w:pStyle w:val="Compact"/>
        <w:numPr>
          <w:ilvl w:val="0"/>
          <w:numId w:val="1002"/>
        </w:numPr>
      </w:pPr>
      <w:r>
        <w:rPr>
          <w:b/>
          <w:bCs/>
        </w:rPr>
        <w:t xml:space="preserve">Hyndman, R. J., &amp; Athanasopoulos, G.</w:t>
      </w:r>
      <w:r>
        <w:t xml:space="preserve"> </w:t>
      </w:r>
      <w:r>
        <w:t xml:space="preserve">(2018).</w:t>
      </w:r>
      <w:r>
        <w:t xml:space="preserve"> </w:t>
      </w:r>
      <w:r>
        <w:rPr>
          <w:i/>
          <w:iCs/>
        </w:rPr>
        <w:t xml:space="preserve">Forecasting: Principles and Practice</w:t>
      </w:r>
      <w:r>
        <w:t xml:space="preserve"> </w:t>
      </w:r>
      <w:r>
        <w:t xml:space="preserve">(2nd ed.). OTexts. https://otexts.com/fpp2/</w:t>
      </w:r>
    </w:p>
    <w:p>
      <w:pPr>
        <w:pStyle w:val="Compact"/>
        <w:numPr>
          <w:ilvl w:val="0"/>
          <w:numId w:val="1002"/>
        </w:numPr>
      </w:pPr>
      <w:r>
        <w:rPr>
          <w:b/>
          <w:bCs/>
        </w:rPr>
        <w:t xml:space="preserve">Silver, E. A., Pyke, D. F., &amp; Thomas, D. J.</w:t>
      </w:r>
      <w:r>
        <w:t xml:space="preserve"> </w:t>
      </w:r>
      <w:r>
        <w:t xml:space="preserve">(2016).</w:t>
      </w:r>
      <w:r>
        <w:t xml:space="preserve"> </w:t>
      </w:r>
      <w:r>
        <w:rPr>
          <w:i/>
          <w:iCs/>
        </w:rPr>
        <w:t xml:space="preserve">Inventory and Production Management in Supply Chains</w:t>
      </w:r>
      <w:r>
        <w:t xml:space="preserve"> </w:t>
      </w:r>
      <w:r>
        <w:t xml:space="preserve">(4th ed.). CRC Press.</w:t>
      </w:r>
    </w:p>
    <w:p>
      <w:pPr>
        <w:pStyle w:val="Compact"/>
        <w:numPr>
          <w:ilvl w:val="0"/>
          <w:numId w:val="1002"/>
        </w:numPr>
      </w:pPr>
      <w:r>
        <w:rPr>
          <w:b/>
          <w:bCs/>
        </w:rPr>
        <w:t xml:space="preserve">Taylor, S. J., &amp; Letham, B.</w:t>
      </w:r>
      <w:r>
        <w:t xml:space="preserve"> </w:t>
      </w:r>
      <w:r>
        <w:t xml:space="preserve">(2018). Forecasting at Scale.</w:t>
      </w:r>
      <w:r>
        <w:t xml:space="preserve"> </w:t>
      </w:r>
      <w:r>
        <w:rPr>
          <w:i/>
          <w:iCs/>
        </w:rPr>
        <w:t xml:space="preserve">The American Statistician</w:t>
      </w:r>
      <w:r>
        <w:t xml:space="preserve">, 72(1), 37-45. https://doi.org/10.1080/00031305.2017.1380080</w:t>
      </w:r>
    </w:p>
    <w:p>
      <w:pPr>
        <w:pStyle w:val="Compact"/>
        <w:numPr>
          <w:ilvl w:val="0"/>
          <w:numId w:val="1002"/>
        </w:numPr>
      </w:pPr>
      <w:r>
        <w:rPr>
          <w:b/>
          <w:bCs/>
        </w:rPr>
        <w:t xml:space="preserve">Wickham, H.</w:t>
      </w:r>
      <w:r>
        <w:t xml:space="preserve"> </w:t>
      </w:r>
      <w:r>
        <w:t xml:space="preserve">(2014). Tidy Data.</w:t>
      </w:r>
      <w:r>
        <w:t xml:space="preserve"> </w:t>
      </w:r>
      <w:r>
        <w:rPr>
          <w:i/>
          <w:iCs/>
        </w:rPr>
        <w:t xml:space="preserve">Journal of Statistical Software</w:t>
      </w:r>
      <w:r>
        <w:t xml:space="preserve">, 59(10), 1-23. https://doi.org/10.18637/jss.v059.i10</w:t>
      </w:r>
    </w:p>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38" Target="media/rId38.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61" Target="media/rId61.png" /><Relationship Type="http://schemas.openxmlformats.org/officeDocument/2006/relationships/image" Id="rId67" Target="media/rId6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2026-10-28T18:58:25Z</dcterms:created>
  <dcterms:modified xsi:type="dcterms:W3CDTF">2026-10-28T18:58:25Z</dcterms:modified>
</cp:coreProperties>
</file>

<file path=docProps/custom.xml><?xml version="1.0" encoding="utf-8"?>
<Properties xmlns="http://schemas.openxmlformats.org/officeDocument/2006/custom-properties" xmlns:vt="http://schemas.openxmlformats.org/officeDocument/2006/docPropsVTypes"/>
</file>