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34.png" ContentType="image/png"/>
  <Override PartName="/word/media/rId29.png" ContentType="image/png"/>
  <Override PartName="/word/media/rId42.png" ContentType="image/png"/>
  <Override PartName="/word/media/rId48.png" ContentType="image/png"/>
  <Override PartName="/word/media/rId52.png" ContentType="image/png"/>
  <Override PartName="/word/media/rId61.png" ContentType="image/png"/>
  <Override PartName="/word/media/rId66.png" ContentType="image/png"/>
  <Override PartName="/word/media/rId7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X21571cdb8a502020570c53cd6e293010042d6c6"/>
    <w:p>
      <w:pPr>
        <w:pStyle w:val="Heading1"/>
      </w:pPr>
      <w:r>
        <w:t xml:space="preserve">Capstone Project 1: Walmart Store Sales Demand Forecasting &amp; Outlets Inventory Optimization</w:t>
      </w:r>
    </w:p>
    <w:bookmarkStart w:id="9" w:name="X296e7e81f5c2b842b2bc24df09e9550ee35922f"/>
    <w:p>
      <w:pPr>
        <w:pStyle w:val="Heading3"/>
      </w:pPr>
      <w:r>
        <w:rPr>
          <w:i/>
          <w:iCs/>
        </w:rPr>
        <w:t xml:space="preserve">A Multi-Outlet Macroeconomic Time Series Demand Planning Architecture</w:t>
      </w:r>
    </w:p>
    <w:p>
      <w:r>
        <w:pict>
          <v:rect style="width:0;height:1.5pt" o:hralign="center" o:hrstd="t" o:hr="t"/>
        </w:pict>
      </w:r>
    </w:p>
    <w:p>
      <w:pPr>
        <w:pStyle w:val="FirstParagraph"/>
      </w:pPr>
      <w:r>
        <w:rPr>
          <w:b/>
          <w:bCs/>
        </w:rPr>
        <w:t xml:space="preserve">Author</w:t>
      </w:r>
      <w:r>
        <w:t xml:space="preserve">: Aman Banik |</w:t>
      </w:r>
      <w:r>
        <w:t xml:space="preserve"> </w:t>
      </w:r>
      <w:r>
        <w:rPr>
          <w:b/>
          <w:bCs/>
        </w:rPr>
        <w:t xml:space="preserve">Specialization</w:t>
      </w:r>
      <w:r>
        <w:t xml:space="preserve">: Data Science &amp; Artificial Intelligence (DSAI)</w:t>
      </w:r>
      <w:r>
        <w:br/>
      </w:r>
      <w:r>
        <w:rPr>
          <w:b/>
          <w:bCs/>
        </w:rPr>
        <w:t xml:space="preserve">Environment</w:t>
      </w:r>
      <w:r>
        <w:t xml:space="preserve">: Conda</w:t>
      </w:r>
      <w:r>
        <w:t xml:space="preserve"> </w:t>
      </w:r>
      <w:r>
        <w:rPr>
          <w:rStyle w:val="VerbatimChar"/>
        </w:rPr>
        <w:t xml:space="preserve">DL_AI_env_311</w:t>
      </w:r>
      <w:r>
        <w:t xml:space="preserve"> </w:t>
      </w:r>
      <w:r>
        <w:t xml:space="preserve">(Python 3.11.15) |</w:t>
      </w:r>
      <w:r>
        <w:t xml:space="preserve"> </w:t>
      </w:r>
      <w:r>
        <w:rPr>
          <w:b/>
          <w:bCs/>
        </w:rPr>
        <w:t xml:space="preserve">Kernel</w:t>
      </w:r>
      <w:r>
        <w:t xml:space="preserve">:</w:t>
      </w:r>
      <w:r>
        <w:t xml:space="preserve"> </w:t>
      </w:r>
      <w:r>
        <w:rPr>
          <w:rStyle w:val="VerbatimChar"/>
        </w:rPr>
        <w:t xml:space="preserve">deepmind</w:t>
      </w:r>
      <w:r>
        <w:br/>
      </w:r>
      <w:r>
        <w:rPr>
          <w:b/>
          <w:bCs/>
        </w:rPr>
        <w:t xml:space="preserve">Artifact Repository</w:t>
      </w:r>
      <w:r>
        <w:t xml:space="preserve">:</w:t>
      </w:r>
      <w:r>
        <w:t xml:space="preserve"> </w:t>
      </w:r>
      <w:r>
        <w:rPr>
          <w:rStyle w:val="VerbatimChar"/>
        </w:rPr>
        <w:t xml:space="preserve">https://github.com/AmanBanik/capstone_DSAI_IITI.git</w:t>
      </w:r>
      <w:r>
        <w:br/>
      </w:r>
      <w:r>
        <w:rPr>
          <w:b/>
          <w:bCs/>
        </w:rPr>
        <w:t xml:space="preserve">Date</w:t>
      </w:r>
      <w:r>
        <w:t xml:space="preserve">: October 2026</w:t>
      </w:r>
    </w:p>
    <w:p>
      <w:r>
        <w:pict>
          <v:rect style="width:0;height:1.5pt" o:hralign="center" o:hrstd="t" o:hr="t"/>
        </w:pict>
      </w:r>
    </w:p>
    <w:bookmarkEnd w:id="9"/>
    <w:bookmarkEnd w:id="10"/>
    <w:bookmarkStart w:id="11" w:name="executive-abstract"/>
    <w:p>
      <w:pPr>
        <w:pStyle w:val="Heading3"/>
      </w:pPr>
      <w:r>
        <w:t xml:space="preserve">Executive Abstract</w:t>
      </w:r>
    </w:p>
    <w:p>
      <w:pPr>
        <w:pStyle w:val="FirstParagraph"/>
      </w:pPr>
      <w:r>
        <w:t xml:space="preserve">This report presents an end-to-end, publication-grade predictive modeling architecture developed for a national retail chain operating 45 distinct store outlets across diverse macroeconomic environments. Facing critical friction in matching store-level inventory supply with dynamic consumer demand, we formulate an empirical time-series forecasting framework to project weekly store sales over a 12-week forward planning horizon. Using 6,435 weekly observations spanning February 2010 to October 2012, we evaluate a spectrum of models including naive persistence, classical statistical SARIMAX, Facebook Prophet, Random Forest, and Extreme Gradient Boosting (XGBoost). Using a 3-fold expanding chronological</w:t>
      </w:r>
      <w:r>
        <w:t xml:space="preserve"> </w:t>
      </w:r>
      <w:r>
        <w:rPr>
          <w:rStyle w:val="VerbatimChar"/>
        </w:rPr>
        <w:t xml:space="preserve">TimeSeriesSplit</w:t>
      </w:r>
      <w:r>
        <w:t xml:space="preserve"> </w:t>
      </w:r>
      <w:r>
        <w:t xml:space="preserve">cross-validation scheme, our tuned champion XGBoost regressor achieves state-of-the-art accuracy with an out-of-sample Root Mean Squared Error (RMSE) of</w:t>
      </w:r>
      <w:r>
        <w:t xml:space="preserve"> </w:t>
      </w:r>
      <w:r>
        <w:rPr>
          <w:b/>
          <w:bCs/>
        </w:rPr>
        <w:t xml:space="preserve">$49,140.51</w:t>
      </w:r>
      <w:r>
        <w:t xml:space="preserve"> </w:t>
      </w:r>
      <w:r>
        <w:t xml:space="preserve">and a Weighted Absolute Percentage Error (WAPE) of</w:t>
      </w:r>
      <w:r>
        <w:t xml:space="preserve"> </w:t>
      </w:r>
      <w:r>
        <w:rPr>
          <w:b/>
          <w:bCs/>
        </w:rPr>
        <w:t xml:space="preserve">3.27%</w:t>
      </w:r>
      <w:r>
        <w:t xml:space="preserve"> </w:t>
      </w:r>
      <w:r>
        <w:t xml:space="preserve">across all 45 stores (reducing total forecast dollar error by</w:t>
      </w:r>
      <w:r>
        <w:t xml:space="preserve"> </w:t>
      </w:r>
      <w:r>
        <w:rPr>
          <w:b/>
          <w:bCs/>
        </w:rPr>
        <w:t xml:space="preserve">&gt;28%</w:t>
      </w:r>
      <w:r>
        <w:t xml:space="preserve"> </w:t>
      </w:r>
      <w:r>
        <w:t xml:space="preserve">over baseline). Finally, we translate forecast errors into mathematically optimal safety stock buffers and dynamic Reorder Points (ROP), ensuring</w:t>
      </w:r>
      <w:r>
        <w:t xml:space="preserve"> </w:t>
      </w:r>
      <w:r>
        <w:rPr>
          <w:b/>
          <w:bCs/>
        </w:rPr>
        <w:t xml:space="preserve">95% to 98% on-shelf availability</w:t>
      </w:r>
      <w:r>
        <w:t xml:space="preserve"> </w:t>
      </w:r>
      <w:r>
        <w:t xml:space="preserve">while minimizing capital lock-in and inventory holding costs.</w:t>
      </w:r>
    </w:p>
    <w:p>
      <w:r>
        <w:br w:type="page"/>
      </w:r>
    </w:p>
    <w:bookmarkEnd w:id="11"/>
    <w:bookmarkStart w:id="12" w:name="table-of-contents"/>
    <w:p>
      <w:pPr>
        <w:pStyle w:val="Heading1"/>
      </w:pPr>
      <w:r>
        <w:t xml:space="preserve">Table of Contents</w:t>
      </w:r>
    </w:p>
    <w:p>
      <w:r>
        <w:pict>
          <v:rect style="width:0;height:1.5pt" o:hralign="center" o:hrstd="t" o:hr="t"/>
        </w:pic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Section Number</w:t>
            </w:r>
          </w:p>
        </w:tc>
        <w:tc>
          <w:tcPr/>
          <w:p>
            <w:pPr>
              <w:pStyle w:val="Compact"/>
              <w:jc w:val="left"/>
            </w:pPr>
            <w:r>
              <w:t xml:space="preserve">Section Title</w:t>
            </w:r>
          </w:p>
        </w:tc>
        <w:tc>
          <w:tcPr/>
          <w:p>
            <w:pPr>
              <w:pStyle w:val="Compact"/>
              <w:jc w:val="left"/>
            </w:pPr>
            <w:r>
              <w:t xml:space="preserve">Primary Focus &amp; Deliverables</w:t>
            </w:r>
          </w:p>
        </w:tc>
      </w:tr>
      <w:tr>
        <w:tc>
          <w:tcPr/>
          <w:p>
            <w:pPr>
              <w:pStyle w:val="Compact"/>
              <w:jc w:val="left"/>
            </w:pPr>
            <w:r>
              <w:rPr>
                <w:b/>
                <w:bCs/>
              </w:rPr>
              <w:t xml:space="preserve">Section 1</w:t>
            </w:r>
          </w:p>
        </w:tc>
        <w:tc>
          <w:tcPr/>
          <w:p>
            <w:pPr>
              <w:pStyle w:val="Compact"/>
              <w:jc w:val="left"/>
            </w:pPr>
            <w:r>
              <w:rPr>
                <w:b/>
                <w:bCs/>
              </w:rPr>
              <w:t xml:space="preserve">Problem Statement</w:t>
            </w:r>
          </w:p>
        </w:tc>
        <w:tc>
          <w:tcPr/>
          <w:p>
            <w:pPr>
              <w:pStyle w:val="Compact"/>
              <w:jc w:val="left"/>
            </w:pPr>
            <w:r>
              <w:t xml:space="preserve">Multi-outlet demand friction, holding costs vs. stockout trade-offs</w:t>
            </w:r>
          </w:p>
        </w:tc>
      </w:tr>
      <w:tr>
        <w:tc>
          <w:tcPr/>
          <w:p>
            <w:pPr>
              <w:pStyle w:val="Compact"/>
              <w:jc w:val="left"/>
            </w:pPr>
            <w:r>
              <w:rPr>
                <w:b/>
                <w:bCs/>
              </w:rPr>
              <w:t xml:space="preserve">Section 2</w:t>
            </w:r>
          </w:p>
        </w:tc>
        <w:tc>
          <w:tcPr/>
          <w:p>
            <w:pPr>
              <w:pStyle w:val="Compact"/>
              <w:jc w:val="left"/>
            </w:pPr>
            <w:r>
              <w:rPr>
                <w:b/>
                <w:bCs/>
              </w:rPr>
              <w:t xml:space="preserve">Project Objective</w:t>
            </w:r>
          </w:p>
        </w:tc>
        <w:tc>
          <w:tcPr/>
          <w:p>
            <w:pPr>
              <w:pStyle w:val="Compact"/>
              <w:jc w:val="left"/>
            </w:pPr>
            <w:r>
              <w:t xml:space="preserve">Store tiering, 12-week forecasting mandate, safety stock formulas</w:t>
            </w:r>
          </w:p>
        </w:tc>
      </w:tr>
      <w:tr>
        <w:tc>
          <w:tcPr/>
          <w:p>
            <w:pPr>
              <w:pStyle w:val="Compact"/>
              <w:jc w:val="left"/>
            </w:pPr>
            <w:r>
              <w:rPr>
                <w:b/>
                <w:bCs/>
              </w:rPr>
              <w:t xml:space="preserve">Section 3</w:t>
            </w:r>
          </w:p>
        </w:tc>
        <w:tc>
          <w:tcPr/>
          <w:p>
            <w:pPr>
              <w:pStyle w:val="Compact"/>
              <w:jc w:val="left"/>
            </w:pPr>
            <w:r>
              <w:rPr>
                <w:b/>
                <w:bCs/>
              </w:rPr>
              <w:t xml:space="preserve">Data Description</w:t>
            </w:r>
          </w:p>
        </w:tc>
        <w:tc>
          <w:tcPr/>
          <w:p>
            <w:pPr>
              <w:pStyle w:val="Compact"/>
              <w:jc w:val="left"/>
            </w:pPr>
            <w:r>
              <w:t xml:space="preserve">6,435 panel observations, summary stats, store volume tiers (CV)</w:t>
            </w:r>
          </w:p>
        </w:tc>
      </w:tr>
      <w:tr>
        <w:tc>
          <w:tcPr/>
          <w:p>
            <w:pPr>
              <w:pStyle w:val="Compact"/>
              <w:jc w:val="left"/>
            </w:pPr>
            <w:r>
              <w:rPr>
                <w:b/>
                <w:bCs/>
              </w:rPr>
              <w:t xml:space="preserve">Section 4</w:t>
            </w:r>
          </w:p>
        </w:tc>
        <w:tc>
          <w:tcPr/>
          <w:p>
            <w:pPr>
              <w:pStyle w:val="Compact"/>
              <w:jc w:val="left"/>
            </w:pPr>
            <w:r>
              <w:rPr>
                <w:b/>
                <w:bCs/>
              </w:rPr>
              <w:t xml:space="preserve">Data Pre-processing Steps and Inspiration</w:t>
            </w:r>
          </w:p>
        </w:tc>
        <w:tc>
          <w:tcPr/>
          <w:p>
            <w:pPr>
              <w:pStyle w:val="Compact"/>
              <w:jc w:val="left"/>
            </w:pPr>
            <w:r>
              <w:t xml:space="preserve">Leakage-free train/test split, cyclical features, lag engineering, audit</w:t>
            </w:r>
          </w:p>
        </w:tc>
      </w:tr>
      <w:tr>
        <w:tc>
          <w:tcPr/>
          <w:p>
            <w:pPr>
              <w:pStyle w:val="Compact"/>
              <w:jc w:val="left"/>
            </w:pPr>
            <w:r>
              <w:rPr>
                <w:b/>
                <w:bCs/>
              </w:rPr>
              <w:t xml:space="preserve">Section 5</w:t>
            </w:r>
          </w:p>
        </w:tc>
        <w:tc>
          <w:tcPr/>
          <w:p>
            <w:pPr>
              <w:pStyle w:val="Compact"/>
              <w:jc w:val="left"/>
            </w:pPr>
            <w:r>
              <w:rPr>
                <w:b/>
                <w:bCs/>
              </w:rPr>
              <w:t xml:space="preserve">Choosing the Algorithm for the Project</w:t>
            </w:r>
          </w:p>
        </w:tc>
        <w:tc>
          <w:tcPr/>
          <w:p>
            <w:pPr>
              <w:pStyle w:val="Compact"/>
              <w:jc w:val="left"/>
            </w:pPr>
            <w:r>
              <w:t xml:space="preserve">Model taxonomy: Naive, SARIMAX, Prophet, Random Forest, XGBoost</w:t>
            </w:r>
          </w:p>
        </w:tc>
      </w:tr>
      <w:tr>
        <w:tc>
          <w:tcPr/>
          <w:p>
            <w:pPr>
              <w:pStyle w:val="Compact"/>
              <w:jc w:val="left"/>
            </w:pPr>
            <w:r>
              <w:rPr>
                <w:b/>
                <w:bCs/>
              </w:rPr>
              <w:t xml:space="preserve">Section 6</w:t>
            </w:r>
          </w:p>
        </w:tc>
        <w:tc>
          <w:tcPr/>
          <w:p>
            <w:pPr>
              <w:pStyle w:val="Compact"/>
              <w:jc w:val="left"/>
            </w:pPr>
            <w:r>
              <w:rPr>
                <w:b/>
                <w:bCs/>
              </w:rPr>
              <w:t xml:space="preserve">Motivation and Reasons For Choosing Algorithm</w:t>
            </w:r>
          </w:p>
        </w:tc>
        <w:tc>
          <w:tcPr/>
          <w:p>
            <w:pPr>
              <w:pStyle w:val="Compact"/>
              <w:jc w:val="left"/>
            </w:pPr>
            <w:r>
              <w:t xml:space="preserve">Cross-store pooling, non-linear macro discovery, multicollinearity</w:t>
            </w:r>
          </w:p>
        </w:tc>
      </w:tr>
      <w:tr>
        <w:tc>
          <w:tcPr/>
          <w:p>
            <w:pPr>
              <w:pStyle w:val="Compact"/>
              <w:jc w:val="left"/>
            </w:pPr>
            <w:r>
              <w:rPr>
                <w:b/>
                <w:bCs/>
              </w:rPr>
              <w:t xml:space="preserve">Section 7</w:t>
            </w:r>
          </w:p>
        </w:tc>
        <w:tc>
          <w:tcPr/>
          <w:p>
            <w:pPr>
              <w:pStyle w:val="Compact"/>
              <w:jc w:val="left"/>
            </w:pPr>
            <w:r>
              <w:rPr>
                <w:b/>
                <w:bCs/>
              </w:rPr>
              <w:t xml:space="preserve">Assumptions</w:t>
            </w:r>
          </w:p>
        </w:tc>
        <w:tc>
          <w:tcPr/>
          <w:p>
            <w:pPr>
              <w:pStyle w:val="Compact"/>
              <w:jc w:val="left"/>
            </w:pPr>
            <w:r>
              <w:t xml:space="preserve">ADF / KPSS stationarity tests, ACF / PACF memory, operational bounds</w:t>
            </w:r>
          </w:p>
        </w:tc>
      </w:tr>
      <w:tr>
        <w:tc>
          <w:tcPr/>
          <w:p>
            <w:pPr>
              <w:pStyle w:val="Compact"/>
              <w:jc w:val="left"/>
            </w:pPr>
            <w:r>
              <w:rPr>
                <w:b/>
                <w:bCs/>
              </w:rPr>
              <w:t xml:space="preserve">Section 8</w:t>
            </w:r>
          </w:p>
        </w:tc>
        <w:tc>
          <w:tcPr/>
          <w:p>
            <w:pPr>
              <w:pStyle w:val="Compact"/>
              <w:jc w:val="left"/>
            </w:pPr>
            <w:r>
              <w:rPr>
                <w:b/>
                <w:bCs/>
              </w:rPr>
              <w:t xml:space="preserve">Model Evaluation and Techniques</w:t>
            </w:r>
          </w:p>
        </w:tc>
        <w:tc>
          <w:tcPr/>
          <w:p>
            <w:pPr>
              <w:pStyle w:val="Compact"/>
              <w:jc w:val="left"/>
            </w:pPr>
            <w:r>
              <w:rPr>
                <w:rStyle w:val="VerbatimChar"/>
              </w:rPr>
              <w:t xml:space="preserve">TimeSeriesSplit</w:t>
            </w:r>
            <w:r>
              <w:t xml:space="preserve"> </w:t>
            </w:r>
            <w:r>
              <w:t xml:space="preserve">cross-validation, hyperparameter grid, WAPE benchmark</w:t>
            </w:r>
          </w:p>
        </w:tc>
      </w:tr>
      <w:tr>
        <w:tc>
          <w:tcPr/>
          <w:p>
            <w:pPr>
              <w:pStyle w:val="Compact"/>
              <w:jc w:val="left"/>
            </w:pPr>
            <w:r>
              <w:rPr>
                <w:b/>
                <w:bCs/>
              </w:rPr>
              <w:t xml:space="preserve">Section 9</w:t>
            </w:r>
          </w:p>
        </w:tc>
        <w:tc>
          <w:tcPr/>
          <w:p>
            <w:pPr>
              <w:pStyle w:val="Compact"/>
              <w:jc w:val="left"/>
            </w:pPr>
            <w:r>
              <w:rPr>
                <w:b/>
                <w:bCs/>
              </w:rPr>
              <w:t xml:space="preserve">Inferences from the Same</w:t>
            </w:r>
          </w:p>
        </w:tc>
        <w:tc>
          <w:tcPr/>
          <w:p>
            <w:pPr>
              <w:pStyle w:val="Compact"/>
              <w:jc w:val="left"/>
            </w:pPr>
            <w:r>
              <w:t xml:space="preserve">Backtest accuracy, holiday multipliers (+41.3%), forward 12-week forecast</w:t>
            </w:r>
          </w:p>
        </w:tc>
      </w:tr>
      <w:tr>
        <w:tc>
          <w:tcPr/>
          <w:p>
            <w:pPr>
              <w:pStyle w:val="Compact"/>
              <w:jc w:val="left"/>
            </w:pPr>
            <w:r>
              <w:rPr>
                <w:b/>
                <w:bCs/>
              </w:rPr>
              <w:t xml:space="preserve">Section 10</w:t>
            </w:r>
          </w:p>
        </w:tc>
        <w:tc>
          <w:tcPr/>
          <w:p>
            <w:pPr>
              <w:pStyle w:val="Compact"/>
              <w:jc w:val="left"/>
            </w:pPr>
            <w:r>
              <w:rPr>
                <w:b/>
                <w:bCs/>
              </w:rPr>
              <w:t xml:space="preserve">Future Possibilities of the Project</w:t>
            </w:r>
          </w:p>
        </w:tc>
        <w:tc>
          <w:tcPr/>
          <w:p>
            <w:pPr>
              <w:pStyle w:val="Compact"/>
              <w:jc w:val="left"/>
            </w:pPr>
            <w:r>
              <w:t xml:space="preserve">Hierarchical reconciliation (MinT), intermittent SKU demand, weather</w:t>
            </w:r>
          </w:p>
        </w:tc>
      </w:tr>
      <w:tr>
        <w:tc>
          <w:tcPr/>
          <w:p>
            <w:pPr>
              <w:pStyle w:val="Compact"/>
              <w:jc w:val="left"/>
            </w:pPr>
            <w:r>
              <w:rPr>
                <w:b/>
                <w:bCs/>
              </w:rPr>
              <w:t xml:space="preserve">Section 11</w:t>
            </w:r>
          </w:p>
        </w:tc>
        <w:tc>
          <w:tcPr/>
          <w:p>
            <w:pPr>
              <w:pStyle w:val="Compact"/>
              <w:jc w:val="left"/>
            </w:pPr>
            <w:r>
              <w:rPr>
                <w:b/>
                <w:bCs/>
              </w:rPr>
              <w:t xml:space="preserve">Conclusion</w:t>
            </w:r>
          </w:p>
        </w:tc>
        <w:tc>
          <w:tcPr/>
          <w:p>
            <w:pPr>
              <w:pStyle w:val="Compact"/>
              <w:jc w:val="left"/>
            </w:pPr>
            <w:r>
              <w:t xml:space="preserve">Quantified business impact (&gt;28% error drop), production sign-off</w:t>
            </w:r>
          </w:p>
        </w:tc>
      </w:tr>
      <w:tr>
        <w:tc>
          <w:tcPr/>
          <w:p>
            <w:pPr>
              <w:pStyle w:val="Compact"/>
              <w:jc w:val="left"/>
            </w:pPr>
            <w:r>
              <w:rPr>
                <w:b/>
                <w:bCs/>
              </w:rPr>
              <w:t xml:space="preserve">Section 12</w:t>
            </w:r>
          </w:p>
        </w:tc>
        <w:tc>
          <w:tcPr/>
          <w:p>
            <w:pPr>
              <w:pStyle w:val="Compact"/>
              <w:jc w:val="left"/>
            </w:pPr>
            <w:r>
              <w:rPr>
                <w:b/>
                <w:bCs/>
              </w:rPr>
              <w:t xml:space="preserve">References</w:t>
            </w:r>
          </w:p>
        </w:tc>
        <w:tc>
          <w:tcPr/>
          <w:p>
            <w:pPr>
              <w:pStyle w:val="Compact"/>
              <w:jc w:val="left"/>
            </w:pPr>
            <w:r>
              <w:t xml:space="preserve">Formal academic and industrial literature citations</w:t>
            </w:r>
          </w:p>
        </w:tc>
      </w:tr>
    </w:tbl>
    <w:p>
      <w:r>
        <w:pict>
          <v:rect style="width:0;height:1.5pt" o:hralign="center" o:hrstd="t" o:hr="t"/>
        </w:pict>
      </w:r>
    </w:p>
    <w:p>
      <w:pPr>
        <w:pStyle w:val="FirstParagraph"/>
      </w:pPr>
      <w:r>
        <w:rPr>
          <w:i/>
          <w:iCs/>
        </w:rPr>
        <w:t xml:space="preserve">Note: All sections in this report adhere strictly to the 12-section project report blueprint specified in</w:t>
      </w:r>
      <w:r>
        <w:rPr>
          <w:i/>
          <w:iCs/>
        </w:rPr>
        <w:t xml:space="preserve"> </w:t>
      </w:r>
      <w:r>
        <w:rPr>
          <w:rStyle w:val="VerbatimChar"/>
          <w:i/>
          <w:iCs/>
        </w:rPr>
        <w:t xml:space="preserve">Draft.pdf</w:t>
      </w:r>
      <w:r>
        <w:rPr>
          <w:i/>
          <w:iCs/>
        </w:rPr>
        <w:t xml:space="preserve"> </w:t>
      </w:r>
      <w:r>
        <w:rPr>
          <w:i/>
          <w:iCs/>
        </w:rPr>
        <w:t xml:space="preserve">and</w:t>
      </w:r>
      <w:r>
        <w:rPr>
          <w:i/>
          <w:iCs/>
        </w:rPr>
        <w:t xml:space="preserve"> </w:t>
      </w:r>
      <w:r>
        <w:rPr>
          <w:rStyle w:val="VerbatimChar"/>
          <w:i/>
          <w:iCs/>
        </w:rPr>
        <w:t xml:space="preserve">guideline.md</w:t>
      </w:r>
      <w:r>
        <w:rPr>
          <w:i/>
          <w:iCs/>
        </w:rPr>
        <w:t xml:space="preserve">.</w:t>
      </w:r>
    </w:p>
    <w:p>
      <w:r>
        <w:br w:type="page"/>
      </w:r>
    </w:p>
    <w:bookmarkEnd w:id="12"/>
    <w:bookmarkStart w:id="16" w:name="problem-statement"/>
    <w:p>
      <w:pPr>
        <w:pStyle w:val="Heading1"/>
      </w:pPr>
      <w:r>
        <w:t xml:space="preserve">1. Problem Statement</w:t>
      </w:r>
    </w:p>
    <w:bookmarkStart w:id="13" w:name="X55579871ad5b94071ba8002d3ba2b9b3a412c02"/>
    <w:p>
      <w:pPr>
        <w:pStyle w:val="Heading3"/>
      </w:pPr>
      <w:r>
        <w:t xml:space="preserve">1.1 Context &amp; Multi-Outlet Supply Chain Complexity</w:t>
      </w:r>
    </w:p>
    <w:p>
      <w:pPr>
        <w:pStyle w:val="FirstParagraph"/>
      </w:pPr>
      <w:r>
        <w:t xml:space="preserve">Modern retail enterprises managing nationwide networks of physical outlets face unprecedented logistical complexity. A major national retail chain operating 45 superstores across distinct geographic and economic regions is experiencing acute operational friction in aligning store-level product replenishment with dynamic consumer demand. Each store operates in a fundamentally unique localized microclimate and economic environment—ranging from high-density urban commercial hubs with weekly sales surpassing $2.1M to rural boutique outlets generating under $350K weekly.</w:t>
      </w:r>
    </w:p>
    <w:bookmarkEnd w:id="13"/>
    <w:bookmarkStart w:id="14" w:name="Xd7b57834887580299c45677d6755c4df8d3f8ba"/>
    <w:p>
      <w:pPr>
        <w:pStyle w:val="Heading3"/>
      </w:pPr>
      <w:r>
        <w:t xml:space="preserve">1.2 Inventory Holding Costs vs. Stockout Trade-offs</w:t>
      </w:r>
    </w:p>
    <w:p>
      <w:pPr>
        <w:pStyle w:val="FirstParagraph"/>
      </w:pPr>
      <w:r>
        <w:t xml:space="preserve">In national retail operations, the financial penalty of demand-supply misalignment is severe and asymmetric:</w:t>
      </w:r>
    </w:p>
    <w:p>
      <w:pPr>
        <w:pStyle w:val="Compact"/>
        <w:numPr>
          <w:ilvl w:val="0"/>
          <w:numId w:val="1001"/>
        </w:numPr>
      </w:pPr>
      <w:r>
        <w:rPr>
          <w:b/>
          <w:bCs/>
        </w:rPr>
        <w:t xml:space="preserve">Understocking (Stockout Risk)</w:t>
      </w:r>
      <w:r>
        <w:t xml:space="preserve">: Failing to anticipate demand surges—particularly during high-velocity promotional windows such as Thanksgiving (Black Friday) and the pre-Christmas shopping peak—results in empty shelves, immediate lost gross margin, diminished customer lifetime value, and permanent customer defection to competitors.</w:t>
      </w:r>
    </w:p>
    <w:p>
      <w:pPr>
        <w:pStyle w:val="Compact"/>
        <w:numPr>
          <w:ilvl w:val="0"/>
          <w:numId w:val="1001"/>
        </w:numPr>
      </w:pPr>
      <w:r>
        <w:rPr>
          <w:b/>
          <w:bCs/>
        </w:rPr>
        <w:t xml:space="preserve">Overstocking (Capital Lock-in &amp; Markdown Risk)</w:t>
      </w:r>
      <w:r>
        <w:t xml:space="preserve">: Over-allocating inventory to stagnant or low-velocity store outlets ties up scarce working capital, inflates warehouse storage and insurance overheads, increases perishable shrinkage, and forces aggressive post-holiday price markdowns that erode product gross margins by up to 40%.</w:t>
      </w:r>
    </w:p>
    <w:bookmarkEnd w:id="14"/>
    <w:bookmarkStart w:id="15" w:name="Xc26987acf16118aab18f01e7d95ea2d3bb91e6b"/>
    <w:p>
      <w:pPr>
        <w:pStyle w:val="Heading3"/>
      </w:pPr>
      <w:r>
        <w:t xml:space="preserve">1.3 Scope &amp; Mathematical Framing of the 12-Week Mandate</w:t>
      </w:r>
    </w:p>
    <w:p>
      <w:pPr>
        <w:pStyle w:val="FirstParagraph"/>
      </w:pPr>
      <w:r>
        <w:t xml:space="preserve">Traditional retail replenishment often relies on static moving averages or decentralized, subjective store-manager intuition. Such approaches fail to capture multi-week demand inertia, complex calendar dynamics, and broader macroeconomic shifts (such as fuel price inflation, regional unemployment, and consumer price index trends).</w:t>
      </w:r>
    </w:p>
    <w:p>
      <w:pPr>
        <w:pStyle w:val="BodyText"/>
      </w:pPr>
      <w:r>
        <w:t xml:space="preserve">To resolve this friction, we are tasked with developing an empirical, automated machine learning forecasting system that generates out-of-sample weekly sales forecasts for</w:t>
      </w:r>
      <w:r>
        <w:t xml:space="preserve"> </w:t>
      </w:r>
      <w:r>
        <w:rPr>
          <w:b/>
          <w:bCs/>
        </w:rPr>
        <w:t xml:space="preserve">all 45 individual stores for a 12-week forward planning horizon</w:t>
      </w:r>
      <w:r>
        <w:t xml:space="preserve">, providing supply chain managers with actionable demand distributions to optimize procurement, central warehouse staging, and retail floor allocation.</w:t>
      </w:r>
    </w:p>
    <w:p>
      <w:r>
        <w:br w:type="page"/>
      </w:r>
    </w:p>
    <w:bookmarkEnd w:id="15"/>
    <w:bookmarkEnd w:id="16"/>
    <w:bookmarkStart w:id="20" w:name="project-objective"/>
    <w:p>
      <w:pPr>
        <w:pStyle w:val="Heading1"/>
      </w:pPr>
      <w:r>
        <w:t xml:space="preserve">2. Project Objective</w:t>
      </w:r>
    </w:p>
    <w:bookmarkStart w:id="17" w:name="core-deliverables-operational-targets"/>
    <w:p>
      <w:pPr>
        <w:pStyle w:val="Heading3"/>
      </w:pPr>
      <w:r>
        <w:t xml:space="preserve">2.1 Core Deliverables &amp; Operational Targets</w:t>
      </w:r>
    </w:p>
    <w:p>
      <w:pPr>
        <w:pStyle w:val="FirstParagraph"/>
      </w:pPr>
      <w:r>
        <w:t xml:space="preserve">The overarching objective of this Capstone project is to transition the retail chain from reactive inventory restocking to a proactive, data-backed demand planning paradigm. Specifically, the project encompasses three primary deliverables:</w:t>
      </w:r>
    </w:p>
    <w:p>
      <w:pPr>
        <w:pStyle w:val="Compact"/>
        <w:numPr>
          <w:ilvl w:val="0"/>
          <w:numId w:val="1002"/>
        </w:numPr>
      </w:pPr>
      <w:r>
        <w:rPr>
          <w:b/>
          <w:bCs/>
        </w:rPr>
        <w:t xml:space="preserve">Store-Level Diagnostic Insights</w:t>
      </w:r>
      <w:r>
        <w:t xml:space="preserve">: Conduct an exhaustive exploratory audit of the 45-store panel to identify structural demand tiers, seasonal surge windows, holiday demand multipliers, and localized macroeconomic sensitivities.</w:t>
      </w:r>
    </w:p>
    <w:p>
      <w:pPr>
        <w:pStyle w:val="Compact"/>
        <w:numPr>
          <w:ilvl w:val="0"/>
          <w:numId w:val="1002"/>
        </w:numPr>
      </w:pPr>
      <w:r>
        <w:rPr>
          <w:b/>
          <w:bCs/>
        </w:rPr>
        <w:t xml:space="preserve">Predictive Time-Series Modeling</w:t>
      </w:r>
      <w:r>
        <w:t xml:space="preserve">: Construct, validate, and compare five candidate forecasting architectures (Naive Persistence, SARIMAX with exogenous regressors, Facebook Prophet, Random Forest, and Gradient Boosted Decision Trees / XGBoost). The target model must achieve an out-of-sample Weighted Absolute Percentage Error (WAPE) under</w:t>
      </w:r>
      <w:r>
        <w:t xml:space="preserve"> </w:t>
      </w:r>
      <w:r>
        <w:rPr>
          <w:b/>
          <w:bCs/>
        </w:rPr>
        <w:t xml:space="preserve">3.5%</w:t>
      </w:r>
      <w:r>
        <w:t xml:space="preserve"> </w:t>
      </w:r>
      <w:r>
        <w:t xml:space="preserve">across all stores.</w:t>
      </w:r>
    </w:p>
    <w:p>
      <w:pPr>
        <w:pStyle w:val="Compact"/>
        <w:numPr>
          <w:ilvl w:val="0"/>
          <w:numId w:val="1002"/>
        </w:numPr>
      </w:pPr>
      <w:r>
        <w:rPr>
          <w:b/>
          <w:bCs/>
        </w:rPr>
        <w:t xml:space="preserve">Multi-Step Forward Forecasting</w:t>
      </w:r>
      <w:r>
        <w:t xml:space="preserve">: Deploy the champion architecture to generate recursive 12-week forward sales forecasts (from November 2, 2012 to January 18, 2013), covering the critical Q4 holiday retail surge.</w:t>
      </w:r>
    </w:p>
    <w:bookmarkEnd w:id="17"/>
    <w:bookmarkStart w:id="18" w:name="X0dd408451bf8c597474a3329401e602bba072da"/>
    <w:p>
      <w:pPr>
        <w:pStyle w:val="Heading3"/>
      </w:pPr>
      <w:r>
        <w:t xml:space="preserve">2.2 Empirical Store Tiering &amp; Categorization Strategy</w:t>
      </w:r>
    </w:p>
    <w:p>
      <w:pPr>
        <w:pStyle w:val="FirstParagraph"/>
      </w:pPr>
      <w:r>
        <w:t xml:space="preserve">A core requirement is establishing an empirical store tiering framework to replace one-size-fits-all inventory replenishment policies:</w:t>
      </w:r>
      <w:r>
        <w:t xml:space="preserve"> </w:t>
      </w:r>
      <w:r>
        <w:t xml:space="preserve">-</w:t>
      </w:r>
      <w:r>
        <w:t xml:space="preserve"> </w:t>
      </w:r>
      <w:r>
        <w:rPr>
          <w:b/>
          <w:bCs/>
        </w:rPr>
        <w:t xml:space="preserve">Tier 1 (Flagship / High-Volume Outlets)</w:t>
      </w:r>
      <w:r>
        <w:t xml:space="preserve">: Stores averaging over</w:t>
      </w:r>
      <w:r>
        <w:t xml:space="preserve"> </w:t>
      </w:r>
      <w:r>
        <w:rPr>
          <w:b/>
          <w:bCs/>
        </w:rPr>
        <w:t xml:space="preserve">$1.9M to $2.1M</w:t>
      </w:r>
      <w:r>
        <w:t xml:space="preserve"> </w:t>
      </w:r>
      <w:r>
        <w:t xml:space="preserve">per week. These high-throughput nodes require frequent cross-docking and large safety stock buffers.</w:t>
      </w:r>
      <w:r>
        <w:t xml:space="preserve"> </w:t>
      </w:r>
      <w:r>
        <w:t xml:space="preserve">-</w:t>
      </w:r>
      <w:r>
        <w:t xml:space="preserve"> </w:t>
      </w:r>
      <w:r>
        <w:rPr>
          <w:b/>
          <w:bCs/>
        </w:rPr>
        <w:t xml:space="preserve">Tier 2 (Mid-Volume Outlets)</w:t>
      </w:r>
      <w:r>
        <w:t xml:space="preserve">: Stores averaging between</w:t>
      </w:r>
      <w:r>
        <w:t xml:space="preserve"> </w:t>
      </w:r>
      <w:r>
        <w:rPr>
          <w:b/>
          <w:bCs/>
        </w:rPr>
        <w:t xml:space="preserve">$1.0M and $1.8M</w:t>
      </w:r>
      <w:r>
        <w:t xml:space="preserve"> </w:t>
      </w:r>
      <w:r>
        <w:t xml:space="preserve">per week.</w:t>
      </w:r>
      <w:r>
        <w:t xml:space="preserve"> </w:t>
      </w:r>
      <w:r>
        <w:t xml:space="preserve">-</w:t>
      </w:r>
      <w:r>
        <w:t xml:space="preserve"> </w:t>
      </w:r>
      <w:r>
        <w:rPr>
          <w:b/>
          <w:bCs/>
        </w:rPr>
        <w:t xml:space="preserve">Tier 3 (Boutique / Low-Volume Outlets)</w:t>
      </w:r>
      <w:r>
        <w:t xml:space="preserve">: Stores averaging under</w:t>
      </w:r>
      <w:r>
        <w:t xml:space="preserve"> </w:t>
      </w:r>
      <w:r>
        <w:rPr>
          <w:b/>
          <w:bCs/>
        </w:rPr>
        <w:t xml:space="preserve">$400K</w:t>
      </w:r>
      <w:r>
        <w:t xml:space="preserve"> </w:t>
      </w:r>
      <w:r>
        <w:t xml:space="preserve">per week. Replenishment must remain lean to avoid inventory stagnancy.</w:t>
      </w:r>
    </w:p>
    <w:bookmarkEnd w:id="18"/>
    <w:bookmarkStart w:id="19" w:name="mathematical-safety-stock-objectives"/>
    <w:p>
      <w:pPr>
        <w:pStyle w:val="Heading3"/>
      </w:pPr>
      <w:r>
        <w:t xml:space="preserve">2.3 Mathematical Safety Stock Objectives</w:t>
      </w:r>
    </w:p>
    <w:p>
      <w:pPr>
        <w:pStyle w:val="FirstParagraph"/>
      </w:pPr>
      <w:r>
        <w:t xml:space="preserve">The final objective is bridging the gap between statistical point forecasts and physical inventory control. By utilizing the champion model’s empirical forecast error distribution (</w:t>
      </w:r>
      <m:oMath>
        <m:sSub>
          <m:e>
            <m:r>
              <m:rPr>
                <m:nor/>
                <m:sty m:val="p"/>
              </m:rPr>
              <m:t>RMSE</m:t>
            </m:r>
          </m:e>
          <m:sub>
            <m:r>
              <m:rPr>
                <m:nor/>
                <m:sty m:val="p"/>
              </m:rPr>
              <m:t>store</m:t>
            </m:r>
          </m:sub>
        </m:sSub>
      </m:oMath>
      <w:r>
        <w:t xml:space="preserve">), we formulate store-specific Reorder Points (ROP) and Safety Stock allocations:</w:t>
      </w:r>
    </w:p>
    <w:p>
      <w:pPr>
        <w:pStyle w:val="BodyText"/>
      </w:pPr>
      <m:oMathPara>
        <m:oMathParaPr>
          <m:jc m:val="center"/>
        </m:oMathParaPr>
        <m:oMath>
          <m:r>
            <m:rPr>
              <m:nor/>
              <m:sty m:val="p"/>
            </m:rPr>
            <m:t>Safety Stock</m:t>
          </m:r>
          <m:r>
            <m:rPr>
              <m:sty m:val="p"/>
            </m:rPr>
            <m:t>=</m:t>
          </m:r>
          <m:sSub>
            <m:e>
              <m:r>
                <m:t>Z</m:t>
              </m:r>
            </m:e>
            <m:sub>
              <m:r>
                <m:t>α</m:t>
              </m:r>
            </m:sub>
          </m:sSub>
          <m:r>
            <m:rPr>
              <m:sty m:val="p"/>
            </m:rPr>
            <m:t>×</m:t>
          </m:r>
          <m:sSub>
            <m:e>
              <m:r>
                <m:rPr>
                  <m:nor/>
                  <m:sty m:val="p"/>
                </m:rPr>
                <m:t>RMSE</m:t>
              </m:r>
            </m:e>
            <m:sub>
              <m:r>
                <m:rPr>
                  <m:nor/>
                  <m:sty m:val="p"/>
                </m:rPr>
                <m:t>store</m:t>
              </m:r>
            </m:sub>
          </m:sSub>
          <m:r>
            <m:rPr>
              <m:sty m:val="p"/>
            </m:rPr>
            <m:t>×</m:t>
          </m:r>
          <m:rad>
            <m:radPr>
              <m:degHide m:val="on"/>
            </m:radPr>
            <m:deg/>
            <m:e>
              <m:r>
                <m:t>L</m:t>
              </m:r>
            </m:e>
          </m:rad>
        </m:oMath>
      </m:oMathPara>
    </w:p>
    <w:p>
      <w:pPr>
        <w:pStyle w:val="FirstParagraph"/>
      </w:pPr>
      <w:r>
        <w:t xml:space="preserve">ensuring a mathematically guaranteed</w:t>
      </w:r>
      <w:r>
        <w:t xml:space="preserve"> </w:t>
      </w:r>
      <w:r>
        <w:rPr>
          <w:b/>
          <w:bCs/>
        </w:rPr>
        <w:t xml:space="preserve">95% to 98% On-Shelf Availability (OSA)</w:t>
      </w:r>
      <w:r>
        <w:t xml:space="preserve"> </w:t>
      </w:r>
      <w:r>
        <w:t xml:space="preserve">service level while minimizing unnecessary inventory holding costs.</w:t>
      </w:r>
    </w:p>
    <w:p>
      <w:r>
        <w:br w:type="page"/>
      </w:r>
    </w:p>
    <w:bookmarkEnd w:id="19"/>
    <w:bookmarkEnd w:id="20"/>
    <w:bookmarkStart w:id="27" w:name="data-description"/>
    <w:p>
      <w:pPr>
        <w:pStyle w:val="Heading1"/>
      </w:pPr>
      <w:r>
        <w:t xml:space="preserve">3. Data Description</w:t>
      </w:r>
    </w:p>
    <w:bookmarkStart w:id="21" w:name="X80be9d1561dfe0b68f183a558ec3b1c5c47512e"/>
    <w:p>
      <w:pPr>
        <w:pStyle w:val="Heading3"/>
      </w:pPr>
      <w:r>
        <w:t xml:space="preserve">3.1 Balanced Panel Dataset Structure &amp; Completeness Audit</w:t>
      </w:r>
    </w:p>
    <w:p>
      <w:pPr>
        <w:pStyle w:val="FirstParagraph"/>
      </w:pPr>
      <w:r>
        <w:t xml:space="preserve">The empirical dataset (</w:t>
      </w:r>
      <w:r>
        <w:rPr>
          <w:rStyle w:val="VerbatimChar"/>
        </w:rPr>
        <w:t xml:space="preserve">Walmart.csv</w:t>
      </w:r>
      <w:r>
        <w:t xml:space="preserve">) is a balanced, longitudinal panel comprising</w:t>
      </w:r>
      <w:r>
        <w:t xml:space="preserve"> </w:t>
      </w:r>
      <w:r>
        <w:rPr>
          <w:b/>
          <w:bCs/>
        </w:rPr>
        <w:t xml:space="preserve">6,435 weekly observations</w:t>
      </w:r>
      <w:r>
        <w:t xml:space="preserve"> </w:t>
      </w:r>
      <w:r>
        <w:t xml:space="preserve">across</w:t>
      </w:r>
      <w:r>
        <w:t xml:space="preserve"> </w:t>
      </w:r>
      <w:r>
        <w:rPr>
          <w:b/>
          <w:bCs/>
        </w:rPr>
        <w:t xml:space="preserve">45 distinct retail stores</w:t>
      </w:r>
      <w:r>
        <w:t xml:space="preserve">. The records span exactly</w:t>
      </w:r>
      <w:r>
        <w:t xml:space="preserve"> </w:t>
      </w:r>
      <w:r>
        <w:rPr>
          <w:b/>
          <w:bCs/>
        </w:rPr>
        <w:t xml:space="preserve">143 consecutive weeks</w:t>
      </w:r>
      <w:r>
        <w:t xml:space="preserve"> </w:t>
      </w:r>
      <w:r>
        <w:t xml:space="preserve">from</w:t>
      </w:r>
      <w:r>
        <w:t xml:space="preserve"> </w:t>
      </w:r>
      <w:r>
        <w:rPr>
          <w:b/>
          <w:bCs/>
        </w:rPr>
        <w:t xml:space="preserve">February 5, 2010 through October 26, 2012</w:t>
      </w:r>
      <w:r>
        <w:t xml:space="preserve">. A comprehensive data hygiene audit confirmed that the panel contains</w:t>
      </w:r>
      <w:r>
        <w:t xml:space="preserve"> </w:t>
      </w:r>
      <w:r>
        <w:rPr>
          <w:b/>
          <w:bCs/>
        </w:rPr>
        <w:t xml:space="preserve">zero missing values</w:t>
      </w:r>
      <w:r>
        <w:t xml:space="preserve">, zero duplicate records, and strictly positive weekly sales figures (</w:t>
      </w:r>
      <m:oMath>
        <m:sSub>
          <m:e>
            <m:r>
              <m:t>y</m:t>
            </m:r>
          </m:e>
          <m:sub>
            <m:r>
              <m:t>t</m:t>
            </m:r>
          </m:sub>
        </m:sSub>
        <m:r>
          <m:rPr>
            <m:sty m:val="p"/>
          </m:rPr>
          <m:t>&gt;</m:t>
        </m:r>
        <m:r>
          <m:t>0</m:t>
        </m:r>
      </m:oMath>
      <w:r>
        <w:t xml:space="preserve">).</w:t>
      </w:r>
    </w:p>
    <w:bookmarkEnd w:id="21"/>
    <w:bookmarkStart w:id="22" w:name="X800592329f2c0aa8182c19946142e067439f273"/>
    <w:p>
      <w:pPr>
        <w:pStyle w:val="Heading3"/>
      </w:pPr>
      <w:r>
        <w:t xml:space="preserve">3.2 Feature Schema &amp; Statistical Summary Profile</w:t>
      </w:r>
    </w:p>
    <w:p>
      <w:pPr>
        <w:pStyle w:val="FirstParagraph"/>
      </w:pPr>
      <w:r>
        <w:t xml:space="preserve">The dataset encompasses eight core features capturing store identification, temporal sequencing, commercial sales volume, promotional calendar events, and regional macroeconomic health:</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Feature Name</w:t>
            </w:r>
          </w:p>
        </w:tc>
        <w:tc>
          <w:tcPr/>
          <w:p>
            <w:pPr>
              <w:pStyle w:val="Compact"/>
              <w:jc w:val="left"/>
            </w:pPr>
            <w:r>
              <w:t xml:space="preserve">Type</w:t>
            </w:r>
          </w:p>
        </w:tc>
        <w:tc>
          <w:tcPr/>
          <w:p>
            <w:pPr>
              <w:pStyle w:val="Compact"/>
              <w:jc w:val="left"/>
            </w:pPr>
            <w:r>
              <w:t xml:space="preserve">Description</w:t>
            </w:r>
          </w:p>
        </w:tc>
        <w:tc>
          <w:tcPr/>
          <w:p>
            <w:pPr>
              <w:pStyle w:val="Compact"/>
              <w:jc w:val="left"/>
            </w:pPr>
            <w:r>
              <w:t xml:space="preserve">Distribution &amp; Empirical Range</w:t>
            </w:r>
          </w:p>
        </w:tc>
      </w:tr>
      <w:tr>
        <w:tc>
          <w:tcPr/>
          <w:p>
            <w:pPr>
              <w:pStyle w:val="Compact"/>
              <w:jc w:val="left"/>
            </w:pPr>
            <w:r>
              <w:rPr>
                <w:rStyle w:val="VerbatimChar"/>
              </w:rPr>
              <w:t xml:space="preserve">Store</w:t>
            </w:r>
          </w:p>
        </w:tc>
        <w:tc>
          <w:tcPr/>
          <w:p>
            <w:pPr>
              <w:pStyle w:val="Compact"/>
              <w:jc w:val="left"/>
            </w:pPr>
            <w:r>
              <w:t xml:space="preserve">Int</w:t>
            </w:r>
          </w:p>
        </w:tc>
        <w:tc>
          <w:tcPr/>
          <w:p>
            <w:pPr>
              <w:pStyle w:val="Compact"/>
              <w:jc w:val="left"/>
            </w:pPr>
            <w:r>
              <w:t xml:space="preserve">Unique outlet identifier</w:t>
            </w:r>
          </w:p>
        </w:tc>
        <w:tc>
          <w:tcPr/>
          <w:p>
            <w:pPr>
              <w:pStyle w:val="Compact"/>
              <w:jc w:val="left"/>
            </w:pPr>
            <w:r>
              <w:t xml:space="preserve">1 to 45 (143 weeks/store balanced panel)</w:t>
            </w:r>
          </w:p>
        </w:tc>
      </w:tr>
      <w:tr>
        <w:tc>
          <w:tcPr/>
          <w:p>
            <w:pPr>
              <w:pStyle w:val="Compact"/>
              <w:jc w:val="left"/>
            </w:pPr>
            <w:r>
              <w:rPr>
                <w:rStyle w:val="VerbatimChar"/>
              </w:rPr>
              <w:t xml:space="preserve">Date</w:t>
            </w:r>
          </w:p>
        </w:tc>
        <w:tc>
          <w:tcPr/>
          <w:p>
            <w:pPr>
              <w:pStyle w:val="Compact"/>
              <w:jc w:val="left"/>
            </w:pPr>
            <w:r>
              <w:t xml:space="preserve">Date</w:t>
            </w:r>
          </w:p>
        </w:tc>
        <w:tc>
          <w:tcPr/>
          <w:p>
            <w:pPr>
              <w:pStyle w:val="Compact"/>
              <w:jc w:val="left"/>
            </w:pPr>
            <w:r>
              <w:t xml:space="preserve">Weekly sales reporting timestamp</w:t>
            </w:r>
          </w:p>
        </w:tc>
        <w:tc>
          <w:tcPr/>
          <w:p>
            <w:pPr>
              <w:pStyle w:val="Compact"/>
              <w:jc w:val="left"/>
            </w:pPr>
            <w:r>
              <w:t xml:space="preserve">2010-02-05 to 2012-10-26 (143 weeks)</w:t>
            </w:r>
          </w:p>
        </w:tc>
      </w:tr>
      <w:tr>
        <w:tc>
          <w:tcPr/>
          <w:p>
            <w:pPr>
              <w:pStyle w:val="Compact"/>
              <w:jc w:val="left"/>
            </w:pPr>
            <w:r>
              <w:rPr>
                <w:rStyle w:val="VerbatimChar"/>
              </w:rPr>
              <w:t xml:space="preserve">Weekly_Sales</w:t>
            </w:r>
          </w:p>
        </w:tc>
        <w:tc>
          <w:tcPr/>
          <w:p>
            <w:pPr>
              <w:pStyle w:val="Compact"/>
              <w:jc w:val="left"/>
            </w:pPr>
            <w:r>
              <w:t xml:space="preserve">Float</w:t>
            </w:r>
          </w:p>
        </w:tc>
        <w:tc>
          <w:tcPr/>
          <w:p>
            <w:pPr>
              <w:pStyle w:val="Compact"/>
              <w:jc w:val="left"/>
            </w:pPr>
            <w:r>
              <w:t xml:space="preserve">Weekly store dollar sales</w:t>
            </w:r>
          </w:p>
        </w:tc>
        <w:tc>
          <w:tcPr/>
          <w:p>
            <w:pPr>
              <w:pStyle w:val="Compact"/>
              <w:jc w:val="left"/>
            </w:pPr>
            <w:r>
              <w:t xml:space="preserve">Mean: $1,046,965; Min: $209,986; Max: $3,818,686</w:t>
            </w:r>
          </w:p>
        </w:tc>
      </w:tr>
      <w:tr>
        <w:tc>
          <w:tcPr/>
          <w:p>
            <w:pPr>
              <w:pStyle w:val="Compact"/>
              <w:jc w:val="left"/>
            </w:pPr>
            <w:r>
              <w:rPr>
                <w:rStyle w:val="VerbatimChar"/>
              </w:rPr>
              <w:t xml:space="preserve">Holiday_Flag</w:t>
            </w:r>
          </w:p>
        </w:tc>
        <w:tc>
          <w:tcPr/>
          <w:p>
            <w:pPr>
              <w:pStyle w:val="Compact"/>
              <w:jc w:val="left"/>
            </w:pPr>
            <w:r>
              <w:t xml:space="preserve">Bin</w:t>
            </w:r>
          </w:p>
        </w:tc>
        <w:tc>
          <w:tcPr/>
          <w:p>
            <w:pPr>
              <w:pStyle w:val="Compact"/>
              <w:jc w:val="left"/>
            </w:pPr>
            <w:r>
              <w:t xml:space="preserve">Designated holiday week indicator</w:t>
            </w:r>
          </w:p>
        </w:tc>
        <w:tc>
          <w:tcPr/>
          <w:p>
            <w:pPr>
              <w:pStyle w:val="Compact"/>
              <w:jc w:val="left"/>
            </w:pPr>
            <w:r>
              <w:t xml:space="preserve">450 holiday records (~7.0% of total)</w:t>
            </w:r>
          </w:p>
        </w:tc>
      </w:tr>
      <w:tr>
        <w:tc>
          <w:tcPr/>
          <w:p>
            <w:pPr>
              <w:pStyle w:val="Compact"/>
              <w:jc w:val="left"/>
            </w:pPr>
            <w:r>
              <w:rPr>
                <w:rStyle w:val="VerbatimChar"/>
              </w:rPr>
              <w:t xml:space="preserve">Temperature</w:t>
            </w:r>
          </w:p>
        </w:tc>
        <w:tc>
          <w:tcPr/>
          <w:p>
            <w:pPr>
              <w:pStyle w:val="Compact"/>
              <w:jc w:val="left"/>
            </w:pPr>
            <w:r>
              <w:t xml:space="preserve">Float</w:t>
            </w:r>
          </w:p>
        </w:tc>
        <w:tc>
          <w:tcPr/>
          <w:p>
            <w:pPr>
              <w:pStyle w:val="Compact"/>
              <w:jc w:val="left"/>
            </w:pPr>
            <w:r>
              <w:t xml:space="preserve">Average regional temperature (°F)</w:t>
            </w:r>
          </w:p>
        </w:tc>
        <w:tc>
          <w:tcPr/>
          <w:p>
            <w:pPr>
              <w:pStyle w:val="Compact"/>
              <w:jc w:val="left"/>
            </w:pPr>
            <w:r>
              <w:t xml:space="preserve">Mean: 60.7°F; Range: 5.5°F to 100.1°F</w:t>
            </w:r>
          </w:p>
        </w:tc>
      </w:tr>
      <w:tr>
        <w:tc>
          <w:tcPr/>
          <w:p>
            <w:pPr>
              <w:pStyle w:val="Compact"/>
              <w:jc w:val="left"/>
            </w:pPr>
            <w:r>
              <w:rPr>
                <w:rStyle w:val="VerbatimChar"/>
              </w:rPr>
              <w:t xml:space="preserve">Fuel_Price</w:t>
            </w:r>
          </w:p>
        </w:tc>
        <w:tc>
          <w:tcPr/>
          <w:p>
            <w:pPr>
              <w:pStyle w:val="Compact"/>
              <w:jc w:val="left"/>
            </w:pPr>
            <w:r>
              <w:t xml:space="preserve">Float</w:t>
            </w:r>
          </w:p>
        </w:tc>
        <w:tc>
          <w:tcPr/>
          <w:p>
            <w:pPr>
              <w:pStyle w:val="Compact"/>
              <w:jc w:val="left"/>
            </w:pPr>
            <w:r>
              <w:t xml:space="preserve">Regional fuel price ($/gal)</w:t>
            </w:r>
          </w:p>
        </w:tc>
        <w:tc>
          <w:tcPr/>
          <w:p>
            <w:pPr>
              <w:pStyle w:val="Compact"/>
              <w:jc w:val="left"/>
            </w:pPr>
            <w:r>
              <w:t xml:space="preserve">Mean: $3.36; Range: $2.47 to $4.47</w:t>
            </w:r>
          </w:p>
        </w:tc>
      </w:tr>
      <w:tr>
        <w:tc>
          <w:tcPr/>
          <w:p>
            <w:pPr>
              <w:pStyle w:val="Compact"/>
              <w:jc w:val="left"/>
            </w:pPr>
            <w:r>
              <w:rPr>
                <w:rStyle w:val="VerbatimChar"/>
              </w:rPr>
              <w:t xml:space="preserve">CPI</w:t>
            </w:r>
          </w:p>
        </w:tc>
        <w:tc>
          <w:tcPr/>
          <w:p>
            <w:pPr>
              <w:pStyle w:val="Compact"/>
              <w:jc w:val="left"/>
            </w:pPr>
            <w:r>
              <w:t xml:space="preserve">Float</w:t>
            </w:r>
          </w:p>
        </w:tc>
        <w:tc>
          <w:tcPr/>
          <w:p>
            <w:pPr>
              <w:pStyle w:val="Compact"/>
              <w:jc w:val="left"/>
            </w:pPr>
            <w:r>
              <w:t xml:space="preserve">Consumer Price Index</w:t>
            </w:r>
          </w:p>
        </w:tc>
        <w:tc>
          <w:tcPr/>
          <w:p>
            <w:pPr>
              <w:pStyle w:val="Compact"/>
              <w:jc w:val="left"/>
            </w:pPr>
            <w:r>
              <w:t xml:space="preserve">Mean: 171.6; Bimodal: 126.1 to 227.2</w:t>
            </w:r>
          </w:p>
        </w:tc>
      </w:tr>
      <w:tr>
        <w:tc>
          <w:tcPr/>
          <w:p>
            <w:pPr>
              <w:pStyle w:val="Compact"/>
              <w:jc w:val="left"/>
            </w:pPr>
            <w:r>
              <w:rPr>
                <w:rStyle w:val="VerbatimChar"/>
              </w:rPr>
              <w:t xml:space="preserve">Unemployment</w:t>
            </w:r>
          </w:p>
        </w:tc>
        <w:tc>
          <w:tcPr/>
          <w:p>
            <w:pPr>
              <w:pStyle w:val="Compact"/>
              <w:jc w:val="left"/>
            </w:pPr>
            <w:r>
              <w:t xml:space="preserve">Float</w:t>
            </w:r>
          </w:p>
        </w:tc>
        <w:tc>
          <w:tcPr/>
          <w:p>
            <w:pPr>
              <w:pStyle w:val="Compact"/>
              <w:jc w:val="left"/>
            </w:pPr>
            <w:r>
              <w:t xml:space="preserve">Regional unemployment rate (%)</w:t>
            </w:r>
          </w:p>
        </w:tc>
        <w:tc>
          <w:tcPr/>
          <w:p>
            <w:pPr>
              <w:pStyle w:val="Compact"/>
              <w:jc w:val="left"/>
            </w:pPr>
            <w:r>
              <w:t xml:space="preserve">Mean: 8.00%; Range: 3.88% to 14.31%</w:t>
            </w:r>
          </w:p>
        </w:tc>
      </w:tr>
    </w:tbl>
    <w:p>
      <w:r>
        <w:br w:type="page"/>
      </w:r>
    </w:p>
    <w:bookmarkEnd w:id="22"/>
    <w:bookmarkStart w:id="26" w:name="Xbbbaa9e73a1d615e947d5175a0bee1763c91da8"/>
    <w:p>
      <w:pPr>
        <w:pStyle w:val="Heading3"/>
      </w:pPr>
      <w:r>
        <w:t xml:space="preserve">3.3 Store Volume Stratification &amp; Volatility Profiles</w:t>
      </w:r>
    </w:p>
    <w:p>
      <w:pPr>
        <w:pStyle w:val="FirstParagraph"/>
      </w:pPr>
      <w:r>
        <w:t xml:space="preserve">Store performance analysis confirms extreme structural heterogeneity across the retail network. Mean weekly sales range from</w:t>
      </w:r>
      <w:r>
        <w:t xml:space="preserve"> </w:t>
      </w:r>
      <w:r>
        <w:rPr>
          <w:b/>
          <w:bCs/>
        </w:rPr>
        <w:t xml:space="preserve">$259,862</w:t>
      </w:r>
      <w:r>
        <w:t xml:space="preserve"> </w:t>
      </w:r>
      <w:r>
        <w:t xml:space="preserve">(Store 33) to</w:t>
      </w:r>
      <w:r>
        <w:t xml:space="preserve"> </w:t>
      </w:r>
      <w:r>
        <w:rPr>
          <w:b/>
          <w:bCs/>
        </w:rPr>
        <w:t xml:space="preserve">$2,107,677</w:t>
      </w:r>
      <w:r>
        <w:t xml:space="preserve"> </w:t>
      </w:r>
      <w:r>
        <w:t xml:space="preserve">(Store 20)—an eight-fold volume spread.</w:t>
      </w:r>
    </w:p>
    <w:p>
      <w:pPr>
        <w:pStyle w:val="CaptionedFigure"/>
      </w:pPr>
      <w:r>
        <w:drawing>
          <wp:inline>
            <wp:extent cx="4267200" cy="1578917"/>
            <wp:effectExtent b="0" l="0" r="0" t="0"/>
            <wp:docPr descr="Weekly Sales Distribution Boxplot Across 45 Stores" title="" id="24" name="Picture"/>
            <a:graphic>
              <a:graphicData uri="http://schemas.openxmlformats.org/drawingml/2006/picture">
                <pic:pic>
                  <pic:nvPicPr>
                    <pic:cNvPr descr="../plots/01_store_sales_distribution_boxplot.png" id="25" name="Picture"/>
                    <pic:cNvPicPr>
                      <a:picLocks noChangeArrowheads="1" noChangeAspect="1"/>
                    </pic:cNvPicPr>
                  </pic:nvPicPr>
                  <pic:blipFill>
                    <a:blip r:embed="rId23"/>
                    <a:stretch>
                      <a:fillRect/>
                    </a:stretch>
                  </pic:blipFill>
                  <pic:spPr bwMode="auto">
                    <a:xfrm>
                      <a:off x="0" y="0"/>
                      <a:ext cx="4267200" cy="1578917"/>
                    </a:xfrm>
                    <a:prstGeom prst="rect">
                      <a:avLst/>
                    </a:prstGeom>
                    <a:noFill/>
                    <a:ln w="9525">
                      <a:noFill/>
                      <a:headEnd/>
                      <a:tailEnd/>
                    </a:ln>
                  </pic:spPr>
                </pic:pic>
              </a:graphicData>
            </a:graphic>
          </wp:inline>
        </w:drawing>
      </w:r>
    </w:p>
    <w:p>
      <w:pPr>
        <w:pStyle w:val="ImageCaption"/>
      </w:pPr>
      <w:r>
        <w:t xml:space="preserve">Weekly Sales Distribution Boxplot Across 45 Stores</w:t>
      </w:r>
    </w:p>
    <w:p>
      <w:pPr>
        <w:pStyle w:val="Compact"/>
        <w:numPr>
          <w:ilvl w:val="0"/>
          <w:numId w:val="1003"/>
        </w:numPr>
      </w:pPr>
      <w:r>
        <w:rPr>
          <w:b/>
          <w:bCs/>
        </w:rPr>
        <w:t xml:space="preserve">Top 5 Stores (Tier 1 Flagship)</w:t>
      </w:r>
      <w:r>
        <w:t xml:space="preserve">: Store 20 ($2.11M), Store 4 ($2.09M), Store 14 ($2.02M), Store 13 ($2.00M), Store 2 ($1.93M).</w:t>
      </w:r>
    </w:p>
    <w:p>
      <w:pPr>
        <w:pStyle w:val="Compact"/>
        <w:numPr>
          <w:ilvl w:val="0"/>
          <w:numId w:val="1003"/>
        </w:numPr>
      </w:pPr>
      <w:r>
        <w:rPr>
          <w:b/>
          <w:bCs/>
        </w:rPr>
        <w:t xml:space="preserve">Bottom 5 Stores (Tier 3 Boutique)</w:t>
      </w:r>
      <w:r>
        <w:t xml:space="preserve">: Store 33 ($260K), Store 44 ($303K), Store 5 ($318K), Store 36 ($374K), Store 38 ($386K).</w:t>
      </w:r>
    </w:p>
    <w:p>
      <w:pPr>
        <w:pStyle w:val="Compact"/>
        <w:numPr>
          <w:ilvl w:val="0"/>
          <w:numId w:val="1003"/>
        </w:numPr>
      </w:pPr>
      <w:r>
        <w:rPr>
          <w:b/>
          <w:bCs/>
        </w:rPr>
        <w:t xml:space="preserve">Coefficient of Variation (CV) &amp; Operational Risk</w:t>
      </w:r>
      <w:r>
        <w:t xml:space="preserve">:</w:t>
      </w:r>
    </w:p>
    <w:p>
      <w:pPr>
        <w:pStyle w:val="Compact"/>
        <w:numPr>
          <w:ilvl w:val="1"/>
          <w:numId w:val="1004"/>
        </w:numPr>
      </w:pPr>
      <w:r>
        <w:t xml:space="preserve">Within Tier 1 flagship stores,</w:t>
      </w:r>
      <w:r>
        <w:t xml:space="preserve"> </w:t>
      </w:r>
      <w:r>
        <w:rPr>
          <w:b/>
          <w:bCs/>
        </w:rPr>
        <w:t xml:space="preserve">Store 14</w:t>
      </w:r>
      <w:r>
        <w:t xml:space="preserve"> </w:t>
      </w:r>
      <w:r>
        <w:t xml:space="preserve">exhibits the highest relative volatility (CV ~ 0.157, std of $317.6K on a $2.02M base), driven by severe holiday shopping swings that expose it to heightened stockout risk.</w:t>
      </w:r>
    </w:p>
    <w:p>
      <w:pPr>
        <w:pStyle w:val="Compact"/>
        <w:numPr>
          <w:ilvl w:val="1"/>
          <w:numId w:val="1004"/>
        </w:numPr>
      </w:pPr>
      <w:r>
        <w:t xml:space="preserve">Across all 45 stores,</w:t>
      </w:r>
      <w:r>
        <w:t xml:space="preserve"> </w:t>
      </w:r>
      <w:r>
        <w:rPr>
          <w:b/>
          <w:bCs/>
        </w:rPr>
        <w:t xml:space="preserve">Store 35</w:t>
      </w:r>
      <w:r>
        <w:t xml:space="preserve"> </w:t>
      </w:r>
      <w:r>
        <w:t xml:space="preserve">exhibits the highest overall volatility (CV = 0.230, mean $919.7K, std $211.2K).</w:t>
      </w:r>
    </w:p>
    <w:p>
      <w:pPr>
        <w:pStyle w:val="Compact"/>
        <w:numPr>
          <w:ilvl w:val="0"/>
          <w:numId w:val="1003"/>
        </w:numPr>
      </w:pPr>
      <w:r>
        <w:rPr>
          <w:b/>
          <w:bCs/>
        </w:rPr>
        <w:t xml:space="preserve">Supply Chain Takeaway</w:t>
      </w:r>
      <w:r>
        <w:t xml:space="preserve">: Uniform national replenishment models fail in multi-tier retail. Safety stocks, reorder cycles, and truck deliveries must be dynamically scaled by store volume tier.</w:t>
      </w:r>
    </w:p>
    <w:p>
      <w:r>
        <w:br w:type="page"/>
      </w:r>
    </w:p>
    <w:bookmarkEnd w:id="26"/>
    <w:bookmarkEnd w:id="27"/>
    <w:bookmarkStart w:id="38" w:name="X9ddc4185fcf016bdc47f006e2cc7a437f139d65"/>
    <w:p>
      <w:pPr>
        <w:pStyle w:val="Heading1"/>
      </w:pPr>
      <w:r>
        <w:t xml:space="preserve">4. Data Pre-processing Steps and Inspiration</w:t>
      </w:r>
    </w:p>
    <w:bookmarkStart w:id="28" w:name="chronological-sequencing-partitioning"/>
    <w:p>
      <w:pPr>
        <w:pStyle w:val="Heading3"/>
      </w:pPr>
      <w:r>
        <w:t xml:space="preserve">4.1 Chronological Sequencing &amp; Partitioning</w:t>
      </w:r>
    </w:p>
    <w:p>
      <w:pPr>
        <w:pStyle w:val="FirstParagraph"/>
      </w:pPr>
      <w:r>
        <w:t xml:space="preserve">Unlike randomized tabular cross-validation, time series modeling requires strict preservation of temporal causality. The dataset was parsed into datetime objects (</w:t>
      </w:r>
      <w:r>
        <w:rPr>
          <w:rStyle w:val="VerbatimChar"/>
        </w:rPr>
        <w:t xml:space="preserve">DD-MM-YYYY</w:t>
      </w:r>
      <w:r>
        <w:t xml:space="preserve">), sorted chronologically by</w:t>
      </w:r>
      <w:r>
        <w:t xml:space="preserve"> </w:t>
      </w:r>
      <w:r>
        <w:rPr>
          <w:rStyle w:val="VerbatimChar"/>
        </w:rPr>
        <w:t xml:space="preserve">Store</w:t>
      </w:r>
      <w:r>
        <w:t xml:space="preserve"> </w:t>
      </w:r>
      <w:r>
        <w:t xml:space="preserve">and</w:t>
      </w:r>
      <w:r>
        <w:t xml:space="preserve"> </w:t>
      </w:r>
      <w:r>
        <w:rPr>
          <w:rStyle w:val="VerbatimChar"/>
        </w:rPr>
        <w:t xml:space="preserve">Date</w:t>
      </w:r>
      <w:r>
        <w:t xml:space="preserve">, and partitioned into:</w:t>
      </w:r>
      <w:r>
        <w:t xml:space="preserve"> </w:t>
      </w:r>
      <w:r>
        <w:t xml:space="preserve">-</w:t>
      </w:r>
      <w:r>
        <w:t xml:space="preserve"> </w:t>
      </w:r>
      <w:r>
        <w:rPr>
          <w:b/>
          <w:bCs/>
        </w:rPr>
        <w:t xml:space="preserve">Historical Training Partition</w:t>
      </w:r>
      <w:r>
        <w:t xml:space="preserve">: The initial 131 weeks per store (weeks 13 to 131 after lag stabilization).</w:t>
      </w:r>
      <w:r>
        <w:t xml:space="preserve"> </w:t>
      </w:r>
      <w:r>
        <w:t xml:space="preserve">-</w:t>
      </w:r>
      <w:r>
        <w:t xml:space="preserve"> </w:t>
      </w:r>
      <w:r>
        <w:rPr>
          <w:b/>
          <w:bCs/>
        </w:rPr>
        <w:t xml:space="preserve">Out-of-Sample Holdout Test Partition</w:t>
      </w:r>
      <w:r>
        <w:t xml:space="preserve">: The final</w:t>
      </w:r>
      <w:r>
        <w:t xml:space="preserve"> </w:t>
      </w:r>
      <w:r>
        <w:rPr>
          <w:b/>
          <w:bCs/>
        </w:rPr>
        <w:t xml:space="preserve">12 weeks</w:t>
      </w:r>
      <w:r>
        <w:t xml:space="preserve"> </w:t>
      </w:r>
      <w:r>
        <w:t xml:space="preserve">per store (August 10, 2012 to October 26, 2012; exactly</w:t>
      </w:r>
      <w:r>
        <w:t xml:space="preserve"> </w:t>
      </w:r>
      <w:r>
        <w:rPr>
          <w:b/>
          <w:bCs/>
        </w:rPr>
        <w:t xml:space="preserve">540 observations</w:t>
      </w:r>
      <w:r>
        <w:t xml:space="preserve"> </w:t>
      </w:r>
      <w:r>
        <w:t xml:space="preserve">across 45 stores).</w:t>
      </w:r>
    </w:p>
    <w:bookmarkEnd w:id="28"/>
    <w:bookmarkStart w:id="32" w:name="X90c0b65127a976ef455fd21f423d5ecc1ceaadd"/>
    <w:p>
      <w:pPr>
        <w:pStyle w:val="Heading3"/>
      </w:pPr>
      <w:r>
        <w:t xml:space="preserve">4.2 Cyclical Temporal Encodings &amp; Holiday Multipliers</w:t>
      </w:r>
    </w:p>
    <w:p>
      <w:pPr>
        <w:pStyle w:val="FirstParagraph"/>
      </w:pPr>
      <w:r>
        <w:t xml:space="preserve">Raw calendar integers introduce artificial boundary discontinuities between December (week 52) and January (week 1). We engineered trigonometric sine and cosine cyclical transformations:</w:t>
      </w:r>
    </w:p>
    <w:p>
      <w:pPr>
        <w:pStyle w:val="BodyText"/>
      </w:pPr>
      <m:oMathPara>
        <m:oMathParaPr>
          <m:jc m:val="center"/>
        </m:oMathParaPr>
        <m:oMath>
          <m:r>
            <m:rPr>
              <m:nor/>
              <m:sty m:val="p"/>
            </m:rPr>
            <m:t>sin_week</m:t>
          </m:r>
          <m:r>
            <m:rPr>
              <m:sty m:val="p"/>
            </m:rPr>
            <m:t>=</m:t>
          </m:r>
          <m:r>
            <m:rPr>
              <m:sty m:val="p"/>
            </m:rPr>
            <m:t>sin</m:t>
          </m:r>
          <m:r>
            <m:rPr>
              <m:sty m:val="p"/>
            </m:rPr>
            <m:t>(</m:t>
          </m:r>
          <m:r>
            <m:t>2</m:t>
          </m:r>
          <m:r>
            <m:t>π</m:t>
          </m:r>
          <m:r>
            <m:rPr>
              <m:sty m:val="p"/>
            </m:rPr>
            <m:t>×</m:t>
          </m:r>
          <m:r>
            <m:rPr>
              <m:nor/>
              <m:sty m:val="p"/>
            </m:rPr>
            <m:t>Week</m:t>
          </m:r>
          <m:r>
            <m:rPr>
              <m:sty m:val="p"/>
            </m:rPr>
            <m:t>/</m:t>
          </m:r>
          <m:r>
            <m:t>52</m:t>
          </m:r>
          <m:r>
            <m:rPr>
              <m:sty m:val="p"/>
            </m:rPr>
            <m:t>)</m:t>
          </m:r>
          <m:r>
            <m:rPr>
              <m:sty m:val="p"/>
            </m:rPr>
            <m:t>,</m:t>
          </m:r>
          <m:r>
            <m:t> </m:t>
          </m:r>
          <m:r>
            <m:rPr>
              <m:nor/>
              <m:sty m:val="p"/>
            </m:rPr>
            <m:t>cos_week</m:t>
          </m:r>
          <m:r>
            <m:rPr>
              <m:sty m:val="p"/>
            </m:rPr>
            <m:t>=</m:t>
          </m:r>
          <m:r>
            <m:rPr>
              <m:sty m:val="p"/>
            </m:rPr>
            <m:t>cos</m:t>
          </m:r>
          <m:r>
            <m:rPr>
              <m:sty m:val="p"/>
            </m:rPr>
            <m:t>(</m:t>
          </m:r>
          <m:r>
            <m:t>2</m:t>
          </m:r>
          <m:r>
            <m:t>π</m:t>
          </m:r>
          <m:r>
            <m:rPr>
              <m:sty m:val="p"/>
            </m:rPr>
            <m:t>×</m:t>
          </m:r>
          <m:r>
            <m:rPr>
              <m:nor/>
              <m:sty m:val="p"/>
            </m:rPr>
            <m:t>Week</m:t>
          </m:r>
          <m:r>
            <m:rPr>
              <m:sty m:val="p"/>
            </m:rPr>
            <m:t>/</m:t>
          </m:r>
          <m:r>
            <m:t>52</m:t>
          </m:r>
          <m:r>
            <m:rPr>
              <m:sty m:val="p"/>
            </m:rPr>
            <m:t>)</m:t>
          </m:r>
        </m:oMath>
      </m:oMathPara>
    </w:p>
    <w:p>
      <w:pPr>
        <w:pStyle w:val="FirstParagraph"/>
      </w:pPr>
      <m:oMathPara>
        <m:oMathParaPr>
          <m:jc m:val="center"/>
        </m:oMathParaPr>
        <m:oMath>
          <m:r>
            <m:rPr>
              <m:nor/>
              <m:sty m:val="p"/>
            </m:rPr>
            <m:t>sin_month</m:t>
          </m:r>
          <m:r>
            <m:rPr>
              <m:sty m:val="p"/>
            </m:rPr>
            <m:t>=</m:t>
          </m:r>
          <m:r>
            <m:rPr>
              <m:sty m:val="p"/>
            </m:rPr>
            <m:t>sin</m:t>
          </m:r>
          <m:r>
            <m:rPr>
              <m:sty m:val="p"/>
            </m:rPr>
            <m:t>(</m:t>
          </m:r>
          <m:r>
            <m:t>2</m:t>
          </m:r>
          <m:r>
            <m:t>π</m:t>
          </m:r>
          <m:r>
            <m:rPr>
              <m:sty m:val="p"/>
            </m:rPr>
            <m:t>×</m:t>
          </m:r>
          <m:r>
            <m:rPr>
              <m:nor/>
              <m:sty m:val="p"/>
            </m:rPr>
            <m:t>Month</m:t>
          </m:r>
          <m:r>
            <m:rPr>
              <m:sty m:val="p"/>
            </m:rPr>
            <m:t>/</m:t>
          </m:r>
          <m:r>
            <m:t>12</m:t>
          </m:r>
          <m:r>
            <m:rPr>
              <m:sty m:val="p"/>
            </m:rPr>
            <m:t>)</m:t>
          </m:r>
          <m:r>
            <m:rPr>
              <m:sty m:val="p"/>
            </m:rPr>
            <m:t>,</m:t>
          </m:r>
          <m:r>
            <m:t> </m:t>
          </m:r>
          <m:r>
            <m:rPr>
              <m:nor/>
              <m:sty m:val="p"/>
            </m:rPr>
            <m:t>cos_month</m:t>
          </m:r>
          <m:r>
            <m:rPr>
              <m:sty m:val="p"/>
            </m:rPr>
            <m:t>=</m:t>
          </m:r>
          <m:r>
            <m:rPr>
              <m:sty m:val="p"/>
            </m:rPr>
            <m:t>cos</m:t>
          </m:r>
          <m:r>
            <m:rPr>
              <m:sty m:val="p"/>
            </m:rPr>
            <m:t>(</m:t>
          </m:r>
          <m:r>
            <m:t>2</m:t>
          </m:r>
          <m:r>
            <m:t>π</m:t>
          </m:r>
          <m:r>
            <m:rPr>
              <m:sty m:val="p"/>
            </m:rPr>
            <m:t>×</m:t>
          </m:r>
          <m:r>
            <m:rPr>
              <m:nor/>
              <m:sty m:val="p"/>
            </m:rPr>
            <m:t>Month</m:t>
          </m:r>
          <m:r>
            <m:rPr>
              <m:sty m:val="p"/>
            </m:rPr>
            <m:t>/</m:t>
          </m:r>
          <m:r>
            <m:t>12</m:t>
          </m:r>
          <m:r>
            <m:rPr>
              <m:sty m:val="p"/>
            </m:rPr>
            <m:t>)</m:t>
          </m:r>
        </m:oMath>
      </m:oMathPara>
    </w:p>
    <w:p>
      <w:pPr>
        <w:pStyle w:val="FirstParagraph"/>
      </w:pPr>
      <w:r>
        <w:t xml:space="preserve">Furthermore, four distinct binary event indicators were constructed to differentiate customer behavior across holiday types:</w:t>
      </w:r>
      <w:r>
        <w:t xml:space="preserve"> </w:t>
      </w:r>
      <w:r>
        <w:rPr>
          <w:rStyle w:val="VerbatimChar"/>
        </w:rPr>
        <w:t xml:space="preserve">is_super_bowl</w:t>
      </w:r>
      <w:r>
        <w:t xml:space="preserve">,</w:t>
      </w:r>
      <w:r>
        <w:t xml:space="preserve"> </w:t>
      </w:r>
      <w:r>
        <w:rPr>
          <w:rStyle w:val="VerbatimChar"/>
        </w:rPr>
        <w:t xml:space="preserve">is_labor_day</w:t>
      </w:r>
      <w:r>
        <w:t xml:space="preserve">,</w:t>
      </w:r>
      <w:r>
        <w:t xml:space="preserve"> </w:t>
      </w:r>
      <w:r>
        <w:rPr>
          <w:rStyle w:val="VerbatimChar"/>
        </w:rPr>
        <w:t xml:space="preserve">is_thanksgiving</w:t>
      </w:r>
      <w:r>
        <w:t xml:space="preserve">, and</w:t>
      </w:r>
      <w:r>
        <w:t xml:space="preserve"> </w:t>
      </w:r>
      <w:r>
        <w:rPr>
          <w:rStyle w:val="VerbatimChar"/>
        </w:rPr>
        <w:t xml:space="preserve">is_christmas</w:t>
      </w:r>
      <w:r>
        <w:t xml:space="preserve">.</w:t>
      </w:r>
    </w:p>
    <w:p>
      <w:pPr>
        <w:pStyle w:val="CaptionedFigure"/>
      </w:pPr>
      <w:r>
        <w:drawing>
          <wp:inline>
            <wp:extent cx="3467100" cy="1706627"/>
            <wp:effectExtent b="0" l="0" r="0" t="0"/>
            <wp:docPr descr="Holiday Sales Uplift Comparison Across Event Types" title="" id="30" name="Picture"/>
            <a:graphic>
              <a:graphicData uri="http://schemas.openxmlformats.org/drawingml/2006/picture">
                <pic:pic>
                  <pic:nvPicPr>
                    <pic:cNvPr descr="../plots/03_holiday_sales_uplift_comparison.png" id="31" name="Picture"/>
                    <pic:cNvPicPr>
                      <a:picLocks noChangeArrowheads="1" noChangeAspect="1"/>
                    </pic:cNvPicPr>
                  </pic:nvPicPr>
                  <pic:blipFill>
                    <a:blip r:embed="rId29"/>
                    <a:stretch>
                      <a:fillRect/>
                    </a:stretch>
                  </pic:blipFill>
                  <pic:spPr bwMode="auto">
                    <a:xfrm>
                      <a:off x="0" y="0"/>
                      <a:ext cx="3467100" cy="1706627"/>
                    </a:xfrm>
                    <a:prstGeom prst="rect">
                      <a:avLst/>
                    </a:prstGeom>
                    <a:noFill/>
                    <a:ln w="9525">
                      <a:noFill/>
                      <a:headEnd/>
                      <a:tailEnd/>
                    </a:ln>
                  </pic:spPr>
                </pic:pic>
              </a:graphicData>
            </a:graphic>
          </wp:inline>
        </w:drawing>
      </w:r>
    </w:p>
    <w:p>
      <w:pPr>
        <w:pStyle w:val="ImageCaption"/>
      </w:pPr>
      <w:r>
        <w:t xml:space="preserve">Holiday Sales Uplift Comparison Across Event Types</w:t>
      </w:r>
    </w:p>
    <w:p>
      <w:pPr>
        <w:pStyle w:val="BodyText"/>
      </w:pPr>
      <w:r>
        <w:t xml:space="preserve">Empirical uplift analysis reveals that</w:t>
      </w:r>
      <w:r>
        <w:t xml:space="preserve"> </w:t>
      </w:r>
      <w:r>
        <w:rPr>
          <w:b/>
          <w:bCs/>
        </w:rPr>
        <w:t xml:space="preserve">Thanksgiving / Black Friday</w:t>
      </w:r>
      <w:r>
        <w:t xml:space="preserve"> </w:t>
      </w:r>
      <w:r>
        <w:t xml:space="preserve">delivers a massive</w:t>
      </w:r>
      <w:r>
        <w:t xml:space="preserve"> </w:t>
      </w:r>
      <w:r>
        <w:rPr>
          <w:b/>
          <w:bCs/>
        </w:rPr>
        <w:t xml:space="preserve">+41.3%</w:t>
      </w:r>
      <w:r>
        <w:t xml:space="preserve"> </w:t>
      </w:r>
      <w:r>
        <w:t xml:space="preserve">lift ($1,471,273 vs. $1,041,256 baseline), while Super Bowl provides</w:t>
      </w:r>
      <w:r>
        <w:t xml:space="preserve"> </w:t>
      </w:r>
      <w:r>
        <w:rPr>
          <w:b/>
          <w:bCs/>
        </w:rPr>
        <w:t xml:space="preserve">+3.6%</w:t>
      </w:r>
      <w:r>
        <w:t xml:space="preserve">, Labor Day delivers</w:t>
      </w:r>
      <w:r>
        <w:t xml:space="preserve"> </w:t>
      </w:r>
      <w:r>
        <w:rPr>
          <w:b/>
          <w:bCs/>
        </w:rPr>
        <w:t xml:space="preserve">+0.1%</w:t>
      </w:r>
      <w:r>
        <w:t xml:space="preserve">, and official Christmas week registers</w:t>
      </w:r>
      <w:r>
        <w:t xml:space="preserve"> </w:t>
      </w:r>
      <w:r>
        <w:rPr>
          <w:b/>
          <w:bCs/>
        </w:rPr>
        <w:t xml:space="preserve">-7.7%</w:t>
      </w:r>
      <w:r>
        <w:t xml:space="preserve"> </w:t>
      </w:r>
      <w:r>
        <w:t xml:space="preserve">(due to calendar cutoff capturing the post-Christmas shopping lull, whereas pre-Christmas Week 51 surges by +55% to +70%).</w:t>
      </w:r>
    </w:p>
    <w:p>
      <w:r>
        <w:br w:type="page"/>
      </w:r>
    </w:p>
    <w:bookmarkEnd w:id="32"/>
    <w:bookmarkStart w:id="33" w:name="Xeb5003b2d02a7fdbd743351d28cfd33a78f53c5"/>
    <w:p>
      <w:pPr>
        <w:pStyle w:val="Heading3"/>
      </w:pPr>
      <w:r>
        <w:t xml:space="preserve">4.3 Autoregressive Lag &amp; Rolling Window Formulations</w:t>
      </w:r>
    </w:p>
    <w:p>
      <w:pPr>
        <w:pStyle w:val="FirstParagraph"/>
      </w:pPr>
      <w:r>
        <w:t xml:space="preserve">To supply our supervised learning algorithms with short-term inertia and seasonal memory, we engineered:</w:t>
      </w:r>
      <w:r>
        <w:t xml:space="preserve"> </w:t>
      </w:r>
      <w:r>
        <w:t xml:space="preserve">1.</w:t>
      </w:r>
      <w:r>
        <w:t xml:space="preserve"> </w:t>
      </w:r>
      <w:r>
        <w:rPr>
          <w:b/>
          <w:bCs/>
        </w:rPr>
        <w:t xml:space="preserve">Autoregressive Lags</w:t>
      </w:r>
      <w:r>
        <w:t xml:space="preserve">:</w:t>
      </w:r>
      <w:r>
        <w:t xml:space="preserve"> </w:t>
      </w:r>
      <m:oMath>
        <m:sSub>
          <m:e>
            <m:r>
              <m:rPr>
                <m:nor/>
                <m:sty m:val="p"/>
              </m:rPr>
              <m:t>Lag</m:t>
            </m:r>
          </m:e>
          <m:sub>
            <m:r>
              <m:t>1</m:t>
            </m:r>
          </m:sub>
        </m:sSub>
      </m:oMath>
      <w:r>
        <w:t xml:space="preserve"> </w:t>
      </w:r>
      <w:r>
        <w:t xml:space="preserve">(previous week inertia),</w:t>
      </w:r>
      <w:r>
        <w:t xml:space="preserve"> </w:t>
      </w:r>
      <m:oMath>
        <m:sSub>
          <m:e>
            <m:r>
              <m:rPr>
                <m:nor/>
                <m:sty m:val="p"/>
              </m:rPr>
              <m:t>Lag</m:t>
            </m:r>
          </m:e>
          <m:sub>
            <m:r>
              <m:t>2</m:t>
            </m:r>
          </m:sub>
        </m:sSub>
      </m:oMath>
      <w:r>
        <w:t xml:space="preserve"> </w:t>
      </w:r>
      <w:r>
        <w:t xml:space="preserve">(two-week trend),</w:t>
      </w:r>
      <w:r>
        <w:t xml:space="preserve"> </w:t>
      </w:r>
      <m:oMath>
        <m:sSub>
          <m:e>
            <m:r>
              <m:rPr>
                <m:nor/>
                <m:sty m:val="p"/>
              </m:rPr>
              <m:t>Lag</m:t>
            </m:r>
          </m:e>
          <m:sub>
            <m:r>
              <m:t>4</m:t>
            </m:r>
          </m:sub>
        </m:sSub>
      </m:oMath>
      <w:r>
        <w:t xml:space="preserve"> </w:t>
      </w:r>
      <w:r>
        <w:t xml:space="preserve">(monthly cycle), and</w:t>
      </w:r>
      <w:r>
        <w:t xml:space="preserve"> </w:t>
      </w:r>
      <m:oMath>
        <m:sSub>
          <m:e>
            <m:r>
              <m:rPr>
                <m:nor/>
                <m:sty m:val="p"/>
              </m:rPr>
              <m:t>Lag</m:t>
            </m:r>
          </m:e>
          <m:sub>
            <m:r>
              <m:t>12</m:t>
            </m:r>
          </m:sub>
        </m:sSub>
      </m:oMath>
      <w:r>
        <w:t xml:space="preserve"> </w:t>
      </w:r>
      <w:r>
        <w:t xml:space="preserve">(quarterly rhythm).</w:t>
      </w:r>
      <w:r>
        <w:t xml:space="preserve"> </w:t>
      </w:r>
      <w:r>
        <w:t xml:space="preserve">2.</w:t>
      </w:r>
      <w:r>
        <w:t xml:space="preserve"> </w:t>
      </w:r>
      <w:r>
        <w:rPr>
          <w:b/>
          <w:bCs/>
        </w:rPr>
        <w:t xml:space="preserve">Rolling Window Statistics</w:t>
      </w:r>
      <w:r>
        <w:t xml:space="preserve">: Moving average and moving standard deviation over 4-week and 12-week windows. All rolling calculations were strictly shifted by 1 period ($ ext{shift}(1)$) to guarantee that future target values do not leak into current training matrices.</w:t>
      </w:r>
    </w:p>
    <w:bookmarkEnd w:id="33"/>
    <w:bookmarkStart w:id="37" w:name="preprocessed-dataset-versioning-audit"/>
    <w:p>
      <w:pPr>
        <w:pStyle w:val="Heading3"/>
      </w:pPr>
      <w:r>
        <w:t xml:space="preserve">4.4 Preprocessed Dataset Versioning Audit</w:t>
      </w:r>
    </w:p>
    <w:p>
      <w:pPr>
        <w:pStyle w:val="FirstParagraph"/>
      </w:pPr>
      <w:r>
        <w:t xml:space="preserve">In compliance with enterprise data governance, all transformed datasets were versioned and serialized into</w:t>
      </w:r>
      <w:r>
        <w:t xml:space="preserve"> </w:t>
      </w:r>
      <w:r>
        <w:rPr>
          <w:rStyle w:val="VerbatimChar"/>
        </w:rPr>
        <w:t xml:space="preserve">capstone_1_walmart/data_processed/</w:t>
      </w:r>
      <w:r>
        <w:t xml:space="preserve">:</w:t>
      </w:r>
      <w:r>
        <w:t xml:space="preserve"> </w:t>
      </w:r>
      <w:r>
        <w:t xml:space="preserve">-</w:t>
      </w:r>
      <w:r>
        <w:t xml:space="preserve"> </w:t>
      </w:r>
      <w:r>
        <w:rPr>
          <w:rStyle w:val="VerbatimChar"/>
        </w:rPr>
        <w:t xml:space="preserve">baseline_split-train01.csv</w:t>
      </w:r>
      <w:r>
        <w:t xml:space="preserve"> </w:t>
      </w:r>
      <w:r>
        <w:t xml:space="preserve">&amp;</w:t>
      </w:r>
      <w:r>
        <w:t xml:space="preserve"> </w:t>
      </w:r>
      <w:r>
        <w:rPr>
          <w:rStyle w:val="VerbatimChar"/>
        </w:rPr>
        <w:t xml:space="preserve">baseline_split-test01.csv</w:t>
      </w:r>
      <w:r>
        <w:t xml:space="preserve">: Raw chronological split holding out 12 weeks per store (540 test rows).</w:t>
      </w:r>
      <w:r>
        <w:t xml:space="preserve"> </w:t>
      </w:r>
      <w:r>
        <w:t xml:space="preserve">-</w:t>
      </w:r>
      <w:r>
        <w:t xml:space="preserve"> </w:t>
      </w:r>
      <w:r>
        <w:rPr>
          <w:rStyle w:val="VerbatimChar"/>
        </w:rPr>
        <w:t xml:space="preserve">lag_rolling_features-train02.csv</w:t>
      </w:r>
      <w:r>
        <w:t xml:space="preserve"> </w:t>
      </w:r>
      <w:r>
        <w:t xml:space="preserve">&amp;</w:t>
      </w:r>
      <w:r>
        <w:t xml:space="preserve"> </w:t>
      </w:r>
      <w:r>
        <w:rPr>
          <w:rStyle w:val="VerbatimChar"/>
        </w:rPr>
        <w:t xml:space="preserve">lag_rolling_features-test02.csv</w:t>
      </w:r>
      <w:r>
        <w:t xml:space="preserve">: Autoregressive lags (1, 2, 4, 12) and rolling statistics.</w:t>
      </w:r>
      <w:r>
        <w:t xml:space="preserve"> </w:t>
      </w:r>
      <w:r>
        <w:t xml:space="preserve">-</w:t>
      </w:r>
      <w:r>
        <w:t xml:space="preserve"> </w:t>
      </w:r>
      <w:r>
        <w:rPr>
          <w:rStyle w:val="VerbatimChar"/>
        </w:rPr>
        <w:t xml:space="preserve">macro_cyclical_engineered-train03.csv</w:t>
      </w:r>
      <w:r>
        <w:t xml:space="preserve"> </w:t>
      </w:r>
      <w:r>
        <w:t xml:space="preserve">&amp;</w:t>
      </w:r>
      <w:r>
        <w:t xml:space="preserve"> </w:t>
      </w:r>
      <w:r>
        <w:rPr>
          <w:rStyle w:val="VerbatimChar"/>
        </w:rPr>
        <w:t xml:space="preserve">macro_cyclical_engineered-test03.csv</w:t>
      </w:r>
      <w:r>
        <w:t xml:space="preserve">: Model-ready feature matrix (27 columns).</w:t>
      </w:r>
      <w:r>
        <w:t xml:space="preserve"> </w:t>
      </w:r>
      <w:r>
        <w:t xml:space="preserve">-</w:t>
      </w:r>
      <w:r>
        <w:t xml:space="preserve"> </w:t>
      </w:r>
      <w:r>
        <w:rPr>
          <w:rStyle w:val="VerbatimChar"/>
        </w:rPr>
        <w:t xml:space="preserve">forward_12week-forecast01.csv</w:t>
      </w:r>
      <w:r>
        <w:t xml:space="preserve">: Final 12-week recursive forward projections across all 45 stores.</w:t>
      </w:r>
    </w:p>
    <w:p>
      <w:pPr>
        <w:pStyle w:val="CaptionedFigure"/>
      </w:pPr>
      <w:r>
        <w:drawing>
          <wp:inline>
            <wp:extent cx="4160520" cy="1642948"/>
            <wp:effectExtent b="0" l="0" r="0" t="0"/>
            <wp:docPr descr="National Weekly Sales Trend with Annotated Holiday &amp; Christmas Peaks" title="" id="35" name="Picture"/>
            <a:graphic>
              <a:graphicData uri="http://schemas.openxmlformats.org/drawingml/2006/picture">
                <pic:pic>
                  <pic:nvPicPr>
                    <pic:cNvPr descr="../plots/02_aggregate_sales_trend_with_holidays.png" id="36" name="Picture"/>
                    <pic:cNvPicPr>
                      <a:picLocks noChangeArrowheads="1" noChangeAspect="1"/>
                    </pic:cNvPicPr>
                  </pic:nvPicPr>
                  <pic:blipFill>
                    <a:blip r:embed="rId34"/>
                    <a:stretch>
                      <a:fillRect/>
                    </a:stretch>
                  </pic:blipFill>
                  <pic:spPr bwMode="auto">
                    <a:xfrm>
                      <a:off x="0" y="0"/>
                      <a:ext cx="4160520" cy="1642948"/>
                    </a:xfrm>
                    <a:prstGeom prst="rect">
                      <a:avLst/>
                    </a:prstGeom>
                    <a:noFill/>
                    <a:ln w="9525">
                      <a:noFill/>
                      <a:headEnd/>
                      <a:tailEnd/>
                    </a:ln>
                  </pic:spPr>
                </pic:pic>
              </a:graphicData>
            </a:graphic>
          </wp:inline>
        </w:drawing>
      </w:r>
    </w:p>
    <w:p>
      <w:pPr>
        <w:pStyle w:val="ImageCaption"/>
      </w:pPr>
      <w:r>
        <w:t xml:space="preserve">National Weekly Sales Trend with Annotated Holiday &amp; Christmas Peaks</w:t>
      </w:r>
    </w:p>
    <w:p>
      <w:r>
        <w:br w:type="page"/>
      </w:r>
    </w:p>
    <w:bookmarkEnd w:id="37"/>
    <w:bookmarkEnd w:id="38"/>
    <w:bookmarkStart w:id="40" w:name="choosing-the-algorithm-for-the-project"/>
    <w:p>
      <w:pPr>
        <w:pStyle w:val="Heading1"/>
      </w:pPr>
      <w:r>
        <w:t xml:space="preserve">5. Choosing the Algorithm for the Project</w:t>
      </w:r>
    </w:p>
    <w:bookmarkStart w:id="39" w:name="X6f3aca3b9844763287122cde5f850f7170f2ddf"/>
    <w:p>
      <w:pPr>
        <w:pStyle w:val="Heading3"/>
      </w:pPr>
      <w:r>
        <w:t xml:space="preserve">5.1 Algorithmic Spectrum &amp; Candidate Taxonomies</w:t>
      </w:r>
    </w:p>
    <w:p>
      <w:pPr>
        <w:pStyle w:val="FirstParagraph"/>
      </w:pPr>
      <w:r>
        <w:t xml:space="preserve">To identify the optimal demand forecasting engine, we evaluated five distinct modeling families spanning classical heuristics, univariate statistical transfer functions, additive time series decompositions, and supervised tree ensembles:</w:t>
      </w:r>
    </w:p>
    <w:p>
      <w:pPr>
        <w:numPr>
          <w:ilvl w:val="0"/>
          <w:numId w:val="1005"/>
        </w:numPr>
      </w:pPr>
      <w:r>
        <w:rPr>
          <w:b/>
          <w:bCs/>
        </w:rPr>
        <w:t xml:space="preserve">Model 1: Naive Persistence Baseline (Lag 1)</w:t>
      </w:r>
      <w:r>
        <w:br/>
      </w:r>
    </w:p>
    <w:p>
      <w:pPr>
        <w:pStyle w:val="BodyText"/>
      </w:pPr>
      <m:oMathPara>
        <m:oMathParaPr>
          <m:jc m:val="center"/>
        </m:oMathParaPr>
        <m:oMath>
          <m:sSub>
            <m:e>
              <m:acc>
                <m:accPr>
                  <m:chr m:val="̂"/>
                </m:accPr>
                <m:e>
                  <m:r>
                    <m:t>y</m:t>
                  </m:r>
                </m:e>
              </m:acc>
            </m:e>
            <m:sub>
              <m:r>
                <m:t>s</m:t>
              </m:r>
              <m:r>
                <m:rPr>
                  <m:sty m:val="p"/>
                </m:rPr>
                <m:t>,</m:t>
              </m:r>
              <m:r>
                <m:t>t</m:t>
              </m:r>
            </m:sub>
          </m:sSub>
          <m:r>
            <m:rPr>
              <m:sty m:val="p"/>
            </m:rPr>
            <m:t>=</m:t>
          </m:r>
          <m:sSub>
            <m:e>
              <m:r>
                <m:t>y</m:t>
              </m:r>
            </m:e>
            <m:sub>
              <m:r>
                <m:t>s</m:t>
              </m:r>
              <m:r>
                <m:rPr>
                  <m:sty m:val="p"/>
                </m:rPr>
                <m:t>,</m:t>
              </m:r>
              <m:r>
                <m:t>t</m:t>
              </m:r>
              <m:r>
                <m:rPr>
                  <m:sty m:val="p"/>
                </m:rPr>
                <m:t>−</m:t>
              </m:r>
              <m:r>
                <m:t>1</m:t>
              </m:r>
            </m:sub>
          </m:sSub>
        </m:oMath>
      </m:oMathPara>
    </w:p>
    <w:p>
      <w:pPr>
        <w:numPr>
          <w:ilvl w:val="0"/>
          <w:numId w:val="1000"/>
        </w:numPr>
      </w:pPr>
      <w:r>
        <w:br/>
      </w:r>
      <w:r>
        <w:t xml:space="preserve">Carries forward the preceding week’s sales volume. Provides an essential lower-bound benchmark: any viable machine learning system must substantially outperform persistence.</w:t>
      </w:r>
    </w:p>
    <w:p>
      <w:pPr>
        <w:numPr>
          <w:ilvl w:val="0"/>
          <w:numId w:val="1005"/>
        </w:numPr>
      </w:pPr>
      <w:r>
        <w:rPr>
          <w:b/>
          <w:bCs/>
        </w:rPr>
        <w:t xml:space="preserve">Model 2: Random Forest Regressor (Ensemble Bagging)</w:t>
      </w:r>
      <w:r>
        <w:br/>
      </w:r>
      <w:r>
        <w:t xml:space="preserve">An ensemble of 150 de-correlated decision trees (</w:t>
      </w:r>
      <m:oMath>
        <m:r>
          <m:t>B</m:t>
        </m:r>
        <m:r>
          <m:rPr>
            <m:sty m:val="p"/>
          </m:rPr>
          <m:t>=</m:t>
        </m:r>
        <m:r>
          <m:t>150</m:t>
        </m:r>
      </m:oMath>
      <w:r>
        <w:t xml:space="preserve">,</w:t>
      </w:r>
      <w:r>
        <w:t xml:space="preserve"> </w:t>
      </w:r>
      <m:oMath>
        <m:r>
          <m:rPr>
            <m:nor/>
            <m:sty m:val="p"/>
          </m:rPr>
          <m:t>max_depth</m:t>
        </m:r>
        <m:r>
          <m:rPr>
            <m:sty m:val="p"/>
          </m:rPr>
          <m:t>=</m:t>
        </m:r>
        <m:r>
          <m:t>16</m:t>
        </m:r>
      </m:oMath>
      <w:r>
        <w:t xml:space="preserve">). Reduces forecast variance through bootstrap aggregation, splitting nodes across random feature subsets to capture high-dimensional non-linear interactions.</w:t>
      </w:r>
    </w:p>
    <w:p>
      <w:pPr>
        <w:numPr>
          <w:ilvl w:val="0"/>
          <w:numId w:val="1005"/>
        </w:numPr>
      </w:pPr>
      <w:r>
        <w:rPr>
          <w:b/>
          <w:bCs/>
        </w:rPr>
        <w:t xml:space="preserve">Model 3: Tuned Champion Extreme Gradient Boosting (XGBoost)</w:t>
      </w:r>
      <w:r>
        <w:br/>
      </w:r>
      <w:r>
        <w:t xml:space="preserve">A gradient-boosted decision tree architecture minimizing a regularized objective function:</w:t>
      </w:r>
    </w:p>
    <w:p>
      <w:pPr>
        <w:pStyle w:val="BodyText"/>
      </w:pPr>
      <m:oMathPara>
        <m:oMathParaPr>
          <m:jc m:val="center"/>
        </m:oMathParaPr>
        <m:oMath>
          <m:r>
            <m:rPr>
              <m:scr m:val="script"/>
              <m:sty m:val="p"/>
            </m:rPr>
            <m:t>L</m:t>
          </m:r>
          <m:r>
            <m:rPr>
              <m:sty m:val="p"/>
            </m:rPr>
            <m:t>=</m:t>
          </m:r>
          <m:nary>
            <m:naryPr>
              <m:chr m:val="∑"/>
              <m:limLoc m:val="undOvr"/>
              <m:subHide m:val="off"/>
              <m:supHide m:val="off"/>
            </m:naryPr>
            <m:sub>
              <m:r>
                <m:t>i</m:t>
              </m:r>
              <m:r>
                <m:rPr>
                  <m:sty m:val="p"/>
                </m:rPr>
                <m:t>=</m:t>
              </m:r>
              <m:r>
                <m:t>1</m:t>
              </m:r>
            </m:sub>
            <m:sup>
              <m:r>
                <m:t>n</m:t>
              </m:r>
            </m:sup>
            <m:e>
              <m:r>
                <m:t>l</m:t>
              </m:r>
            </m:e>
          </m:nary>
          <m:r>
            <m:rPr>
              <m:sty m:val="p"/>
            </m:rPr>
            <m:t>(</m:t>
          </m:r>
          <m:sSub>
            <m:e>
              <m:r>
                <m:t>y</m:t>
              </m:r>
            </m:e>
            <m:sub>
              <m:r>
                <m:t>i</m:t>
              </m:r>
            </m:sub>
          </m:sSub>
          <m:r>
            <m:rPr>
              <m:sty m:val="p"/>
            </m:rPr>
            <m:t>,</m:t>
          </m:r>
          <m:sSub>
            <m:e>
              <m:acc>
                <m:accPr>
                  <m:chr m:val="̂"/>
                </m:accPr>
                <m:e>
                  <m:r>
                    <m:t>y</m:t>
                  </m:r>
                </m:e>
              </m:acc>
            </m:e>
            <m:sub>
              <m:r>
                <m:t>i</m:t>
              </m:r>
            </m:sub>
          </m:sSub>
          <m:r>
            <m:rPr>
              <m:sty m:val="p"/>
            </m:rPr>
            <m:t>)</m:t>
          </m:r>
          <m:r>
            <m:rPr>
              <m:sty m:val="p"/>
            </m:rPr>
            <m:t>+</m:t>
          </m:r>
          <m:nary>
            <m:naryPr>
              <m:chr m:val="∑"/>
              <m:limLoc m:val="undOvr"/>
              <m:subHide m:val="off"/>
              <m:supHide m:val="off"/>
            </m:naryPr>
            <m:sub>
              <m:r>
                <m:t>k</m:t>
              </m:r>
              <m:r>
                <m:rPr>
                  <m:sty m:val="p"/>
                </m:rPr>
                <m:t>=</m:t>
              </m:r>
              <m:r>
                <m:t>1</m:t>
              </m:r>
            </m:sub>
            <m:sup>
              <m:r>
                <m:t>K</m:t>
              </m:r>
            </m:sup>
            <m:e>
              <m:r>
                <m:rPr>
                  <m:sty m:val="p"/>
                </m:rPr>
                <m:t>Ω</m:t>
              </m:r>
            </m:e>
          </m:nary>
          <m:r>
            <m:rPr>
              <m:sty m:val="p"/>
            </m:rPr>
            <m:t>(</m:t>
          </m:r>
          <m:sSub>
            <m:e>
              <m:r>
                <m:t>f</m:t>
              </m:r>
            </m:e>
            <m:sub>
              <m:r>
                <m:t>k</m:t>
              </m:r>
            </m:sub>
          </m:sSub>
          <m:r>
            <m:rPr>
              <m:sty m:val="p"/>
            </m:rPr>
            <m:t>)</m:t>
          </m:r>
          <m:r>
            <m:rPr>
              <m:sty m:val="p"/>
            </m:rPr>
            <m:t>,</m:t>
          </m:r>
          <m:r>
            <m:t> </m:t>
          </m:r>
          <m:r>
            <m:rPr>
              <m:sty m:val="p"/>
            </m:rPr>
            <m:t>Ω</m:t>
          </m:r>
          <m:r>
            <m:rPr>
              <m:sty m:val="p"/>
            </m:rPr>
            <m:t>(</m:t>
          </m:r>
          <m:r>
            <m:t>f</m:t>
          </m:r>
          <m:r>
            <m:rPr>
              <m:sty m:val="p"/>
            </m:rPr>
            <m:t>)</m:t>
          </m:r>
          <m:r>
            <m:rPr>
              <m:sty m:val="p"/>
            </m:rPr>
            <m:t>=</m:t>
          </m:r>
          <m:r>
            <m:t>γ</m:t>
          </m:r>
          <m:r>
            <m:t>T</m:t>
          </m:r>
          <m:r>
            <m:rPr>
              <m:sty m:val="p"/>
            </m:rPr>
            <m:t>+</m:t>
          </m:r>
          <m:f>
            <m:fPr>
              <m:type m:val="bar"/>
            </m:fPr>
            <m:num>
              <m:r>
                <m:t>1</m:t>
              </m:r>
            </m:num>
            <m:den>
              <m:r>
                <m:t>2</m:t>
              </m:r>
            </m:den>
          </m:f>
          <m:r>
            <m:t>λ</m:t>
          </m:r>
          <m:nary>
            <m:naryPr>
              <m:chr m:val="∑"/>
              <m:limLoc m:val="undOvr"/>
              <m:subHide m:val="off"/>
              <m:supHide m:val="off"/>
            </m:naryPr>
            <m:sub>
              <m:r>
                <m:t>j</m:t>
              </m:r>
              <m:r>
                <m:rPr>
                  <m:sty m:val="p"/>
                </m:rPr>
                <m:t>=</m:t>
              </m:r>
              <m:r>
                <m:t>1</m:t>
              </m:r>
            </m:sub>
            <m:sup>
              <m:r>
                <m:t>T</m:t>
              </m:r>
            </m:sup>
            <m:e>
              <m:sSubSup>
                <m:e>
                  <m:r>
                    <m:t>w</m:t>
                  </m:r>
                </m:e>
                <m:sub>
                  <m:r>
                    <m:t>j</m:t>
                  </m:r>
                </m:sub>
                <m:sup>
                  <m:r>
                    <m:t>2</m:t>
                  </m:r>
                </m:sup>
              </m:sSubSup>
            </m:e>
          </m:nary>
        </m:oMath>
      </m:oMathPara>
    </w:p>
    <w:p>
      <w:pPr>
        <w:numPr>
          <w:ilvl w:val="0"/>
          <w:numId w:val="1000"/>
        </w:numPr>
      </w:pPr>
      <w:r>
        <w:t xml:space="preserve">Sequentially fits regression trees to negative gradients using second-order Taylor approximations, incorporating tree shrinkage (learning rate</w:t>
      </w:r>
      <w:r>
        <w:t xml:space="preserve"> </w:t>
      </w:r>
      <m:oMath>
        <m:r>
          <m:t>η</m:t>
        </m:r>
        <m:r>
          <m:rPr>
            <m:sty m:val="p"/>
          </m:rPr>
          <m:t>=</m:t>
        </m:r>
        <m:r>
          <m:t>0.04</m:t>
        </m:r>
      </m:oMath>
      <w:r>
        <w:t xml:space="preserve">) and column subsampling (0.85) to prevent overfitting.</w:t>
      </w:r>
    </w:p>
    <w:p>
      <w:pPr>
        <w:numPr>
          <w:ilvl w:val="0"/>
          <w:numId w:val="1005"/>
        </w:numPr>
      </w:pPr>
      <w:r>
        <w:rPr>
          <w:b/>
          <w:bCs/>
        </w:rPr>
        <w:t xml:space="preserve">Model 4: Classical Statistical SARIMAX</w:t>
      </w:r>
      <w:r>
        <w:br/>
      </w:r>
      <w:r>
        <w:t xml:space="preserve">A seasonal autoregressive integrated moving average model with dynamic exogenous regressors:</w:t>
      </w:r>
    </w:p>
    <w:p>
      <w:pPr>
        <w:pStyle w:val="BodyText"/>
      </w:pPr>
      <m:oMathPara>
        <m:oMathParaPr>
          <m:jc m:val="center"/>
        </m:oMathParaPr>
        <m:oMath>
          <m:sSub>
            <m:e>
              <m:r>
                <m:rPr>
                  <m:sty m:val="p"/>
                </m:rPr>
                <m:t>Φ</m:t>
              </m:r>
            </m:e>
            <m:sub>
              <m:r>
                <m:t>P</m:t>
              </m:r>
            </m:sub>
          </m:sSub>
          <m:r>
            <m:rPr>
              <m:sty m:val="p"/>
            </m:rPr>
            <m:t>(</m:t>
          </m:r>
          <m:sSup>
            <m:e>
              <m:r>
                <m:t>B</m:t>
              </m:r>
            </m:e>
            <m:sup>
              <m:r>
                <m:t>s</m:t>
              </m:r>
            </m:sup>
          </m:sSup>
          <m:r>
            <m:rPr>
              <m:sty m:val="p"/>
            </m:rPr>
            <m:t>)</m:t>
          </m:r>
          <m:sSub>
            <m:e>
              <m:r>
                <m:t>ϕ</m:t>
              </m:r>
            </m:e>
            <m:sub>
              <m:r>
                <m:t>p</m:t>
              </m:r>
            </m:sub>
          </m:sSub>
          <m:r>
            <m:rPr>
              <m:sty m:val="p"/>
            </m:rPr>
            <m:t>(</m:t>
          </m:r>
          <m:r>
            <m:t>B</m:t>
          </m:r>
          <m:r>
            <m:rPr>
              <m:sty m:val="p"/>
            </m:rPr>
            <m:t>)</m:t>
          </m:r>
          <m:r>
            <m:rPr>
              <m:sty m:val="p"/>
            </m:rPr>
            <m:t>(</m:t>
          </m:r>
          <m:r>
            <m:t>1</m:t>
          </m:r>
          <m:r>
            <m:rPr>
              <m:sty m:val="p"/>
            </m:rPr>
            <m:t>−</m:t>
          </m:r>
          <m:r>
            <m:t>B</m:t>
          </m:r>
          <m:sSup>
            <m:e>
              <m:r>
                <m:rPr>
                  <m:sty m:val="p"/>
                </m:rPr>
                <m:t>)</m:t>
              </m:r>
            </m:e>
            <m:sup>
              <m:r>
                <m:t>d</m:t>
              </m:r>
            </m:sup>
          </m:sSup>
          <m:r>
            <m:rPr>
              <m:sty m:val="p"/>
            </m:rPr>
            <m:t>(</m:t>
          </m:r>
          <m:r>
            <m:t>1</m:t>
          </m:r>
          <m:r>
            <m:rPr>
              <m:sty m:val="p"/>
            </m:rPr>
            <m:t>−</m:t>
          </m:r>
          <m:sSup>
            <m:e>
              <m:r>
                <m:t>B</m:t>
              </m:r>
            </m:e>
            <m:sup>
              <m:r>
                <m:t>s</m:t>
              </m:r>
            </m:sup>
          </m:sSup>
          <m:sSup>
            <m:e>
              <m:r>
                <m:rPr>
                  <m:sty m:val="p"/>
                </m:rPr>
                <m:t>)</m:t>
              </m:r>
            </m:e>
            <m:sup>
              <m:r>
                <m:t>D</m:t>
              </m:r>
            </m:sup>
          </m:sSup>
          <m:sSub>
            <m:e>
              <m:r>
                <m:t>y</m:t>
              </m:r>
            </m:e>
            <m:sub>
              <m:r>
                <m:t>t</m:t>
              </m:r>
            </m:sub>
          </m:sSub>
          <m:r>
            <m:rPr>
              <m:sty m:val="p"/>
            </m:rPr>
            <m:t>=</m:t>
          </m:r>
          <m:sSup>
            <m:e>
              <m:r>
                <m:t>β</m:t>
              </m:r>
            </m:e>
            <m:sup>
              <m:r>
                <m:rPr>
                  <m:sty m:val="p"/>
                </m:rPr>
                <m:t>′</m:t>
              </m:r>
            </m:sup>
          </m:sSup>
          <m:sSub>
            <m:e>
              <m:r>
                <m:t>X</m:t>
              </m:r>
            </m:e>
            <m:sub>
              <m:r>
                <m:t>t</m:t>
              </m:r>
            </m:sub>
          </m:sSub>
          <m:r>
            <m:rPr>
              <m:sty m:val="p"/>
            </m:rPr>
            <m:t>+</m:t>
          </m:r>
          <m:sSub>
            <m:e>
              <m:r>
                <m:rPr>
                  <m:sty m:val="p"/>
                </m:rPr>
                <m:t>Θ</m:t>
              </m:r>
            </m:e>
            <m:sub>
              <m:r>
                <m:t>Q</m:t>
              </m:r>
            </m:sub>
          </m:sSub>
          <m:r>
            <m:rPr>
              <m:sty m:val="p"/>
            </m:rPr>
            <m:t>(</m:t>
          </m:r>
          <m:sSup>
            <m:e>
              <m:r>
                <m:t>B</m:t>
              </m:r>
            </m:e>
            <m:sup>
              <m:r>
                <m:t>s</m:t>
              </m:r>
            </m:sup>
          </m:sSup>
          <m:r>
            <m:rPr>
              <m:sty m:val="p"/>
            </m:rPr>
            <m:t>)</m:t>
          </m:r>
          <m:sSub>
            <m:e>
              <m:r>
                <m:t>θ</m:t>
              </m:r>
            </m:e>
            <m:sub>
              <m:r>
                <m:t>q</m:t>
              </m:r>
            </m:sub>
          </m:sSub>
          <m:r>
            <m:rPr>
              <m:sty m:val="p"/>
            </m:rPr>
            <m:t>(</m:t>
          </m:r>
          <m:r>
            <m:t>B</m:t>
          </m:r>
          <m:r>
            <m:rPr>
              <m:sty m:val="p"/>
            </m:rPr>
            <m:t>)</m:t>
          </m:r>
          <m:sSub>
            <m:e>
              <m:r>
                <m:t>ϵ</m:t>
              </m:r>
            </m:e>
            <m:sub>
              <m:r>
                <m:t>t</m:t>
              </m:r>
            </m:sub>
          </m:sSub>
        </m:oMath>
      </m:oMathPara>
    </w:p>
    <w:p>
      <w:pPr>
        <w:numPr>
          <w:ilvl w:val="0"/>
          <w:numId w:val="1000"/>
        </w:numPr>
      </w:pPr>
      <w:r>
        <w:t xml:space="preserve">Configured with order</w:t>
      </w:r>
      <w:r>
        <w:t xml:space="preserve"> </w:t>
      </w:r>
      <m:oMath>
        <m:r>
          <m:rPr>
            <m:sty m:val="p"/>
          </m:rPr>
          <m:t>(</m:t>
        </m:r>
        <m:r>
          <m:t>1</m:t>
        </m:r>
        <m:r>
          <m:rPr>
            <m:sty m:val="p"/>
          </m:rPr>
          <m:t>,</m:t>
        </m:r>
        <m:r>
          <m:t>1</m:t>
        </m:r>
        <m:r>
          <m:rPr>
            <m:sty m:val="p"/>
          </m:rPr>
          <m:t>,</m:t>
        </m:r>
        <m:r>
          <m:t>1</m:t>
        </m:r>
        <m:r>
          <m:rPr>
            <m:sty m:val="p"/>
          </m:rPr>
          <m:t>)</m:t>
        </m:r>
        <m:r>
          <m:rPr>
            <m:sty m:val="p"/>
          </m:rPr>
          <m:t>×</m:t>
        </m:r>
        <m:r>
          <m:rPr>
            <m:sty m:val="p"/>
          </m:rPr>
          <m:t>(</m:t>
        </m:r>
        <m:r>
          <m:t>0</m:t>
        </m:r>
        <m:r>
          <m:rPr>
            <m:sty m:val="p"/>
          </m:rPr>
          <m:t>,</m:t>
        </m:r>
        <m:r>
          <m:t>1</m:t>
        </m:r>
        <m:r>
          <m:rPr>
            <m:sty m:val="p"/>
          </m:rPr>
          <m:t>,</m:t>
        </m:r>
        <m:r>
          <m:t>1</m:t>
        </m:r>
        <m:sSub>
          <m:e>
            <m:r>
              <m:rPr>
                <m:sty m:val="p"/>
              </m:rPr>
              <m:t>)</m:t>
            </m:r>
          </m:e>
          <m:sub>
            <m:r>
              <m:t>12</m:t>
            </m:r>
          </m:sub>
        </m:sSub>
      </m:oMath>
      <w:r>
        <w:t xml:space="preserve"> </w:t>
      </w:r>
      <w:r>
        <w:t xml:space="preserve">and exogenous regressors (</w:t>
      </w:r>
      <w:r>
        <w:rPr>
          <w:rStyle w:val="VerbatimChar"/>
        </w:rPr>
        <w:t xml:space="preserve">Holiday_Flag</w:t>
      </w:r>
      <w:r>
        <w:t xml:space="preserve">,</w:t>
      </w:r>
      <w:r>
        <w:t xml:space="preserve"> </w:t>
      </w:r>
      <w:r>
        <w:rPr>
          <w:rStyle w:val="VerbatimChar"/>
        </w:rPr>
        <w:t xml:space="preserve">CPI</w:t>
      </w:r>
      <w:r>
        <w:t xml:space="preserve">,</w:t>
      </w:r>
      <w:r>
        <w:t xml:space="preserve"> </w:t>
      </w:r>
      <w:r>
        <w:rPr>
          <w:rStyle w:val="VerbatimChar"/>
        </w:rPr>
        <w:t xml:space="preserve">Unemployment</w:t>
      </w:r>
      <w:r>
        <w:t xml:space="preserve">), capturing store-specific stochastic drift.</w:t>
      </w:r>
    </w:p>
    <w:p>
      <w:pPr>
        <w:numPr>
          <w:ilvl w:val="0"/>
          <w:numId w:val="1005"/>
        </w:numPr>
      </w:pPr>
      <w:r>
        <w:rPr>
          <w:b/>
          <w:bCs/>
        </w:rPr>
        <w:t xml:space="preserve">Model 5: Facebook Prophet (Generalized Additive Model)</w:t>
      </w:r>
      <w:r>
        <w:br/>
      </w:r>
      <w:r>
        <w:t xml:space="preserve">A decomposable time series model combining trend, seasonality, and exogenous regressors:</w:t>
      </w:r>
    </w:p>
    <w:p>
      <w:pPr>
        <w:pStyle w:val="BodyText"/>
      </w:pPr>
      <m:oMathPara>
        <m:oMathParaPr>
          <m:jc m:val="center"/>
        </m:oMathParaPr>
        <m:oMath>
          <m:r>
            <m:t>y</m:t>
          </m:r>
          <m:r>
            <m:rPr>
              <m:sty m:val="p"/>
            </m:rPr>
            <m:t>(</m:t>
          </m:r>
          <m:r>
            <m:t>t</m:t>
          </m:r>
          <m:r>
            <m:rPr>
              <m:sty m:val="p"/>
            </m:rPr>
            <m:t>)</m:t>
          </m:r>
          <m:r>
            <m:rPr>
              <m:sty m:val="p"/>
            </m:rPr>
            <m:t>=</m:t>
          </m:r>
          <m:r>
            <m:t>g</m:t>
          </m:r>
          <m:r>
            <m:rPr>
              <m:sty m:val="p"/>
            </m:rPr>
            <m:t>(</m:t>
          </m:r>
          <m:r>
            <m:t>t</m:t>
          </m:r>
          <m:r>
            <m:rPr>
              <m:sty m:val="p"/>
            </m:rPr>
            <m:t>)</m:t>
          </m:r>
          <m:r>
            <m:rPr>
              <m:sty m:val="p"/>
            </m:rPr>
            <m:t>+</m:t>
          </m:r>
          <m:r>
            <m:t>s</m:t>
          </m:r>
          <m:r>
            <m:rPr>
              <m:sty m:val="p"/>
            </m:rPr>
            <m:t>(</m:t>
          </m:r>
          <m:r>
            <m:t>t</m:t>
          </m:r>
          <m:r>
            <m:rPr>
              <m:sty m:val="p"/>
            </m:rPr>
            <m:t>)</m:t>
          </m:r>
          <m:r>
            <m:rPr>
              <m:sty m:val="p"/>
            </m:rPr>
            <m:t>+</m:t>
          </m:r>
          <m:r>
            <m:t>h</m:t>
          </m:r>
          <m:r>
            <m:rPr>
              <m:sty m:val="p"/>
            </m:rPr>
            <m:t>(</m:t>
          </m:r>
          <m:r>
            <m:t>t</m:t>
          </m:r>
          <m:r>
            <m:rPr>
              <m:sty m:val="p"/>
            </m:rPr>
            <m:t>)</m:t>
          </m:r>
          <m:r>
            <m:rPr>
              <m:sty m:val="p"/>
            </m:rPr>
            <m:t>+</m:t>
          </m:r>
          <m:nary>
            <m:naryPr>
              <m:chr m:val="∑"/>
              <m:limLoc m:val="undOvr"/>
              <m:subHide m:val="off"/>
              <m:supHide m:val="off"/>
            </m:naryPr>
            <m:sub>
              <m:r>
                <m:t>k</m:t>
              </m:r>
              <m:r>
                <m:rPr>
                  <m:sty m:val="p"/>
                </m:rPr>
                <m:t>=</m:t>
              </m:r>
              <m:r>
                <m:t>1</m:t>
              </m:r>
            </m:sub>
            <m:sup>
              <m:r>
                <m:t>K</m:t>
              </m:r>
            </m:sup>
            <m:e>
              <m:sSub>
                <m:e>
                  <m:r>
                    <m:t>β</m:t>
                  </m:r>
                </m:e>
                <m:sub>
                  <m:r>
                    <m:t>k</m:t>
                  </m:r>
                </m:sub>
              </m:sSub>
            </m:e>
          </m:nary>
          <m:sSub>
            <m:e>
              <m:r>
                <m:t>x</m:t>
              </m:r>
            </m:e>
            <m:sub>
              <m:r>
                <m:t>k</m:t>
              </m:r>
              <m:r>
                <m:rPr>
                  <m:sty m:val="p"/>
                </m:rPr>
                <m:t>,</m:t>
              </m:r>
              <m:r>
                <m:t>t</m:t>
              </m:r>
            </m:sub>
          </m:sSub>
          <m:r>
            <m:rPr>
              <m:sty m:val="p"/>
            </m:rPr>
            <m:t>+</m:t>
          </m:r>
          <m:sSub>
            <m:e>
              <m:r>
                <m:t>ϵ</m:t>
              </m:r>
            </m:e>
            <m:sub>
              <m:r>
                <m:t>t</m:t>
              </m:r>
            </m:sub>
          </m:sSub>
        </m:oMath>
      </m:oMathPara>
    </w:p>
    <w:p>
      <w:pPr>
        <w:numPr>
          <w:ilvl w:val="0"/>
          <w:numId w:val="1000"/>
        </w:numPr>
      </w:pPr>
      <w:r>
        <w:t xml:space="preserve">Configured with piecewise linear growth</w:t>
      </w:r>
      <w:r>
        <w:t xml:space="preserve"> </w:t>
      </w:r>
      <m:oMath>
        <m:r>
          <m:t>g</m:t>
        </m:r>
        <m:r>
          <m:rPr>
            <m:sty m:val="p"/>
          </m:rPr>
          <m:t>(</m:t>
        </m:r>
        <m:r>
          <m:t>t</m:t>
        </m:r>
        <m:r>
          <m:rPr>
            <m:sty m:val="p"/>
          </m:rPr>
          <m:t>)</m:t>
        </m:r>
      </m:oMath>
      <w:r>
        <w:t xml:space="preserve">, Fourier yearly seasonality</w:t>
      </w:r>
      <w:r>
        <w:t xml:space="preserve"> </w:t>
      </w:r>
      <m:oMath>
        <m:r>
          <m:t>s</m:t>
        </m:r>
        <m:r>
          <m:rPr>
            <m:sty m:val="p"/>
          </m:rPr>
          <m:t>(</m:t>
        </m:r>
        <m:r>
          <m:t>t</m:t>
        </m:r>
        <m:r>
          <m:rPr>
            <m:sty m:val="p"/>
          </m:rPr>
          <m:t>)</m:t>
        </m:r>
      </m:oMath>
      <w:r>
        <w:t xml:space="preserve">, and extra holiday/macro regressors fitted via Bayesian Stan optimization.</w:t>
      </w:r>
    </w:p>
    <w:p>
      <w:r>
        <w:br w:type="page"/>
      </w:r>
    </w:p>
    <w:bookmarkEnd w:id="39"/>
    <w:bookmarkEnd w:id="40"/>
    <w:bookmarkStart w:id="47" w:name="Xa21a25f99d4b6b82c6ec84d4a344bb17eb7b6f7"/>
    <w:p>
      <w:pPr>
        <w:pStyle w:val="Heading1"/>
      </w:pPr>
      <w:r>
        <w:t xml:space="preserve">6. Motivation and Reasons For Choosing the Algorithm</w:t>
      </w:r>
    </w:p>
    <w:bookmarkStart w:id="41" w:name="X1fdea085623361d21870f6259127b2256621848"/>
    <w:p>
      <w:pPr>
        <w:pStyle w:val="Heading3"/>
      </w:pPr>
      <w:r>
        <w:t xml:space="preserve">6.1 Cross-Store Panel Pooling &amp; Shared Holiday Elasticity</w:t>
      </w:r>
    </w:p>
    <w:p>
      <w:pPr>
        <w:pStyle w:val="FirstParagraph"/>
      </w:pPr>
      <w:r>
        <w:t xml:space="preserve">The central architectural dilemma in multi-outlet retail forecasting is whether to train 45 separate univariate models or a unified global panel model:</w:t>
      </w:r>
      <w:r>
        <w:t xml:space="preserve"> </w:t>
      </w:r>
      <w:r>
        <w:t xml:space="preserve">-</w:t>
      </w:r>
      <w:r>
        <w:t xml:space="preserve"> </w:t>
      </w:r>
      <w:r>
        <w:rPr>
          <w:b/>
          <w:bCs/>
        </w:rPr>
        <w:t xml:space="preserve">Limitation of Univariate Models (SARIMAX / Prophet)</w:t>
      </w:r>
      <w:r>
        <w:t xml:space="preserve">: When trained strictly on a single store’s 143 observations, a model observes each holiday only twice (e.g. Thanksgiving in 2010 and 2011). Two data points are statistically insufficient to robustly estimate holiday uplift parameters without severe variance or overfitting.</w:t>
      </w:r>
      <w:r>
        <w:t xml:space="preserve"> </w:t>
      </w:r>
      <w:r>
        <w:t xml:space="preserve">-</w:t>
      </w:r>
      <w:r>
        <w:t xml:space="preserve"> </w:t>
      </w:r>
      <w:r>
        <w:rPr>
          <w:b/>
          <w:bCs/>
        </w:rPr>
        <w:t xml:space="preserve">Advantage of Global GBDT (XGBoost)</w:t>
      </w:r>
      <w:r>
        <w:t xml:space="preserve">: A global gradient-boosted tree pools observations across</w:t>
      </w:r>
      <w:r>
        <w:t xml:space="preserve"> </w:t>
      </w:r>
      <w:r>
        <w:rPr>
          <w:b/>
          <w:bCs/>
        </w:rPr>
        <w:t xml:space="preserve">all 45 stores simultaneously</w:t>
      </w:r>
      <w:r>
        <w:t xml:space="preserve"> </w:t>
      </w:r>
      <w:r>
        <w:t xml:space="preserve">(</w:t>
      </w:r>
      <m:oMath>
        <m:r>
          <m:t>5</m:t>
        </m:r>
        <m:r>
          <m:rPr>
            <m:sty m:val="p"/>
          </m:rPr>
          <m:t>,</m:t>
        </m:r>
        <m:r>
          <m:t>895</m:t>
        </m:r>
      </m:oMath>
      <w:r>
        <w:t xml:space="preserve"> </w:t>
      </w:r>
      <w:r>
        <w:t xml:space="preserve">training rows). This exposes the algorithm to</w:t>
      </w:r>
      <w:r>
        <w:t xml:space="preserve"> </w:t>
      </w:r>
      <w:r>
        <w:rPr>
          <w:b/>
          <w:bCs/>
        </w:rPr>
        <w:t xml:space="preserve">90 separate Thanksgiving observations</w:t>
      </w:r>
      <w:r>
        <w:t xml:space="preserve"> </w:t>
      </w:r>
      <w:r>
        <w:t xml:space="preserve">and</w:t>
      </w:r>
      <w:r>
        <w:t xml:space="preserve"> </w:t>
      </w:r>
      <w:r>
        <w:rPr>
          <w:b/>
          <w:bCs/>
        </w:rPr>
        <w:t xml:space="preserve">135 Super Bowl observations</w:t>
      </w:r>
      <w:r>
        <w:t xml:space="preserve">, allowing it to learn generalizable holiday uplift elasticities (+41.3% Thanksgiving response) while distinguishing store baseline volumes through store-level historical mean encodings (</w:t>
      </w:r>
      <w:r>
        <w:rPr>
          <w:rStyle w:val="VerbatimChar"/>
        </w:rPr>
        <w:t xml:space="preserve">store_mean_sales</w:t>
      </w:r>
      <w:r>
        <w:t xml:space="preserve">).</w:t>
      </w:r>
    </w:p>
    <w:bookmarkEnd w:id="41"/>
    <w:bookmarkStart w:id="45" w:name="X2db7642a483b3c36c5343106cf20c4ddec9a090"/>
    <w:p>
      <w:pPr>
        <w:pStyle w:val="Heading3"/>
      </w:pPr>
      <w:r>
        <w:t xml:space="preserve">6.2 Non-Linear Macroeconomic Threshold Discovery</w:t>
      </w:r>
    </w:p>
    <w:p>
      <w:pPr>
        <w:pStyle w:val="FirstParagraph"/>
      </w:pPr>
      <w:r>
        <w:t xml:space="preserve">Macroeconomic variables exhibit weak linear correlations with sales in aggregate (Unemployment: -0.106, CPI: -0.073, Temperature: -0.064, Fuel Price: +0.009).</w:t>
      </w:r>
    </w:p>
    <w:p>
      <w:pPr>
        <w:pStyle w:val="CaptionedFigure"/>
      </w:pPr>
      <w:r>
        <w:drawing>
          <wp:inline>
            <wp:extent cx="2400300" cy="1911974"/>
            <wp:effectExtent b="0" l="0" r="0" t="0"/>
            <wp:docPr descr="Correlation Matrix Heatmap: Sales &amp; Macroeconomic Regressors" title="" id="43" name="Picture"/>
            <a:graphic>
              <a:graphicData uri="http://schemas.openxmlformats.org/drawingml/2006/picture">
                <pic:pic>
                  <pic:nvPicPr>
                    <pic:cNvPr descr="../plots/04_macro_correlation_heatmap.png" id="44" name="Picture"/>
                    <pic:cNvPicPr>
                      <a:picLocks noChangeArrowheads="1" noChangeAspect="1"/>
                    </pic:cNvPicPr>
                  </pic:nvPicPr>
                  <pic:blipFill>
                    <a:blip r:embed="rId42"/>
                    <a:stretch>
                      <a:fillRect/>
                    </a:stretch>
                  </pic:blipFill>
                  <pic:spPr bwMode="auto">
                    <a:xfrm>
                      <a:off x="0" y="0"/>
                      <a:ext cx="2400300" cy="1911974"/>
                    </a:xfrm>
                    <a:prstGeom prst="rect">
                      <a:avLst/>
                    </a:prstGeom>
                    <a:noFill/>
                    <a:ln w="9525">
                      <a:noFill/>
                      <a:headEnd/>
                      <a:tailEnd/>
                    </a:ln>
                  </pic:spPr>
                </pic:pic>
              </a:graphicData>
            </a:graphic>
          </wp:inline>
        </w:drawing>
      </w:r>
    </w:p>
    <w:p>
      <w:pPr>
        <w:pStyle w:val="ImageCaption"/>
      </w:pPr>
      <w:r>
        <w:t xml:space="preserve">Correlation Matrix Heatmap: Sales &amp; Macroeconomic Regressors</w:t>
      </w:r>
    </w:p>
    <w:p>
      <w:pPr>
        <w:pStyle w:val="BodyText"/>
      </w:pPr>
      <w:r>
        <w:t xml:space="preserve">Linear models struggle because economic sensitivity is non-linear and localized: unemployment increases above 10% severely depress discretionary retail, while sub-6% shifts have little effect. Tree-based algorithms naturally discover these localized threshold interactions through recursive partitioning without manual specification.</w:t>
      </w:r>
    </w:p>
    <w:bookmarkEnd w:id="45"/>
    <w:bookmarkStart w:id="46" w:name="X2d36d73995cc6e2ebfd39d632f452adc2b46c0a"/>
    <w:p>
      <w:pPr>
        <w:pStyle w:val="Heading3"/>
      </w:pPr>
      <w:r>
        <w:t xml:space="preserve">6.3 Robustness to Multicollinearity &amp; Deployment Footprint</w:t>
      </w:r>
    </w:p>
    <w:p>
      <w:pPr>
        <w:pStyle w:val="FirstParagraph"/>
      </w:pPr>
      <w:r>
        <w:t xml:space="preserve">Autoregressive lags and moving averages exhibit collinearity that destabilizes linear matrix inversions. Tree boosting is invariant to monotonic feature transformations and immune to collinearity breakdown. Furthermore, our tuned XGBoost model serializes to a compact</w:t>
      </w:r>
      <w:r>
        <w:t xml:space="preserve"> </w:t>
      </w:r>
      <w:r>
        <w:rPr>
          <w:b/>
          <w:bCs/>
        </w:rPr>
        <w:t xml:space="preserve">685 KB</w:t>
      </w:r>
      <w:r>
        <w:t xml:space="preserve"> </w:t>
      </w:r>
      <w:r>
        <w:t xml:space="preserve">footprint, executing multi-store forward inference in under</w:t>
      </w:r>
      <w:r>
        <w:t xml:space="preserve"> </w:t>
      </w:r>
      <w:r>
        <w:rPr>
          <w:b/>
          <w:bCs/>
        </w:rPr>
        <w:t xml:space="preserve">25 milliseconds</w:t>
      </w:r>
      <w:r>
        <w:t xml:space="preserve">.</w:t>
      </w:r>
    </w:p>
    <w:p>
      <w:r>
        <w:br w:type="page"/>
      </w:r>
    </w:p>
    <w:bookmarkEnd w:id="46"/>
    <w:bookmarkEnd w:id="47"/>
    <w:bookmarkStart w:id="57" w:name="assumptions"/>
    <w:p>
      <w:pPr>
        <w:pStyle w:val="Heading1"/>
      </w:pPr>
      <w:r>
        <w:t xml:space="preserve">7. Assumptions</w:t>
      </w:r>
    </w:p>
    <w:bookmarkStart w:id="51" w:name="X4be522d548bf311bcb2b3b6aec4a2a27264ade1"/>
    <w:p>
      <w:pPr>
        <w:pStyle w:val="Heading3"/>
      </w:pPr>
      <w:r>
        <w:t xml:space="preserve">7.1 Statistical Stationarity &amp; Unit Root Hypothesis Testing</w:t>
      </w:r>
    </w:p>
    <w:p>
      <w:pPr>
        <w:pStyle w:val="FirstParagraph"/>
      </w:pPr>
      <w:r>
        <w:t xml:space="preserve">Classical time series modeling requires verifying that the underlying data generating process does not exhibit explosive unit root behavior. We performed formal hypothesis testing using both the</w:t>
      </w:r>
      <w:r>
        <w:t xml:space="preserve"> </w:t>
      </w:r>
      <w:r>
        <w:rPr>
          <w:b/>
          <w:bCs/>
        </w:rPr>
        <w:t xml:space="preserve">Augmented Dickey-Fuller (ADF)</w:t>
      </w:r>
      <w:r>
        <w:t xml:space="preserve"> </w:t>
      </w:r>
      <w:r>
        <w:t xml:space="preserve">test (</w:t>
      </w:r>
      <m:oMath>
        <m:sSub>
          <m:e>
            <m:r>
              <m:t>H</m:t>
            </m:r>
          </m:e>
          <m:sub>
            <m:r>
              <m:t>0</m:t>
            </m:r>
          </m:sub>
        </m:sSub>
      </m:oMath>
      <w:r>
        <w:t xml:space="preserve">: unit root present) and the</w:t>
      </w:r>
      <w:r>
        <w:t xml:space="preserve"> </w:t>
      </w:r>
      <w:r>
        <w:rPr>
          <w:b/>
          <w:bCs/>
        </w:rPr>
        <w:t xml:space="preserve">Kwiatkowski-Phillips-Schmidt-Shin (KPSS)</w:t>
      </w:r>
      <w:r>
        <w:t xml:space="preserve"> </w:t>
      </w:r>
      <w:r>
        <w:t xml:space="preserve">test (</w:t>
      </w:r>
      <m:oMath>
        <m:sSub>
          <m:e>
            <m:r>
              <m:t>H</m:t>
            </m:r>
          </m:e>
          <m:sub>
            <m:r>
              <m:t>0</m:t>
            </m:r>
          </m:sub>
        </m:sSub>
      </m:oMath>
      <w:r>
        <w:t xml:space="preserve">: series is trend-stationary):</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Series Evaluated</w:t>
            </w:r>
          </w:p>
        </w:tc>
        <w:tc>
          <w:tcPr/>
          <w:p>
            <w:pPr>
              <w:pStyle w:val="Compact"/>
              <w:jc w:val="left"/>
            </w:pPr>
            <w:r>
              <w:t xml:space="preserve">ADF Stat</w:t>
            </w:r>
          </w:p>
        </w:tc>
        <w:tc>
          <w:tcPr/>
          <w:p>
            <w:pPr>
              <w:pStyle w:val="Compact"/>
              <w:jc w:val="left"/>
            </w:pPr>
            <w:r>
              <w:t xml:space="preserve">ADF p-val</w:t>
            </w:r>
          </w:p>
        </w:tc>
        <w:tc>
          <w:tcPr/>
          <w:p>
            <w:pPr>
              <w:pStyle w:val="Compact"/>
              <w:jc w:val="left"/>
            </w:pPr>
            <w:r>
              <w:t xml:space="preserve">1% Crit</w:t>
            </w:r>
          </w:p>
        </w:tc>
        <w:tc>
          <w:tcPr/>
          <w:p>
            <w:pPr>
              <w:pStyle w:val="Compact"/>
              <w:jc w:val="left"/>
            </w:pPr>
            <w:r>
              <w:t xml:space="preserve">ADF Decision</w:t>
            </w:r>
          </w:p>
        </w:tc>
        <w:tc>
          <w:tcPr/>
          <w:p>
            <w:pPr>
              <w:pStyle w:val="Compact"/>
              <w:jc w:val="left"/>
            </w:pPr>
            <w:r>
              <w:t xml:space="preserve">KPSS Stat</w:t>
            </w:r>
          </w:p>
        </w:tc>
        <w:tc>
          <w:tcPr/>
          <w:p>
            <w:pPr>
              <w:pStyle w:val="Compact"/>
              <w:jc w:val="left"/>
            </w:pPr>
            <w:r>
              <w:t xml:space="preserve">KPSS p-val</w:t>
            </w:r>
          </w:p>
        </w:tc>
        <w:tc>
          <w:tcPr/>
          <w:p>
            <w:pPr>
              <w:pStyle w:val="Compact"/>
              <w:jc w:val="left"/>
            </w:pPr>
            <w:r>
              <w:t xml:space="preserve">KPSS Decision</w:t>
            </w:r>
          </w:p>
        </w:tc>
      </w:tr>
      <w:tr>
        <w:tc>
          <w:tcPr/>
          <w:p>
            <w:pPr>
              <w:pStyle w:val="Compact"/>
              <w:jc w:val="left"/>
            </w:pPr>
            <w:r>
              <w:rPr>
                <w:b/>
                <w:bCs/>
              </w:rPr>
              <w:t xml:space="preserve">National Sales (Raw)</w:t>
            </w:r>
          </w:p>
        </w:tc>
        <w:tc>
          <w:tcPr/>
          <w:p>
            <w:pPr>
              <w:pStyle w:val="Compact"/>
              <w:jc w:val="left"/>
            </w:pPr>
            <w:r>
              <w:rPr>
                <w:b/>
                <w:bCs/>
              </w:rPr>
              <w:t xml:space="preserve">-5.9083</w:t>
            </w:r>
          </w:p>
        </w:tc>
        <w:tc>
          <w:tcPr/>
          <w:p>
            <w:pPr>
              <w:pStyle w:val="Compact"/>
              <w:jc w:val="left"/>
            </w:pPr>
            <m:oMath>
              <m:r>
                <m:t>2.68</m:t>
              </m:r>
              <m:r>
                <m:rPr>
                  <m:sty m:val="p"/>
                </m:rPr>
                <m:t>×</m:t>
              </m:r>
              <m:sSup>
                <m:e>
                  <m:r>
                    <m:t>10</m:t>
                  </m:r>
                </m:e>
                <m:sup>
                  <m:r>
                    <m:rPr>
                      <m:sty m:val="p"/>
                    </m:rPr>
                    <m:t>−</m:t>
                  </m:r>
                  <m:r>
                    <m:t>7</m:t>
                  </m:r>
                </m:sup>
              </m:sSup>
            </m:oMath>
          </w:p>
        </w:tc>
        <w:tc>
          <w:tcPr/>
          <w:p>
            <w:pPr>
              <w:pStyle w:val="Compact"/>
              <w:jc w:val="left"/>
            </w:pPr>
            <w:r>
              <w:t xml:space="preserve">-3.4786</w:t>
            </w:r>
          </w:p>
        </w:tc>
        <w:tc>
          <w:tcPr/>
          <w:p>
            <w:pPr>
              <w:pStyle w:val="Compact"/>
              <w:jc w:val="left"/>
            </w:pPr>
            <w:r>
              <w:t xml:space="preserve">Reject</w:t>
            </w:r>
            <w:r>
              <w:t xml:space="preserve"> </w:t>
            </w:r>
            <m:oMath>
              <m:sSub>
                <m:e>
                  <m:r>
                    <m:t>H</m:t>
                  </m:r>
                </m:e>
                <m:sub>
                  <m:r>
                    <m:t>0</m:t>
                  </m:r>
                </m:sub>
              </m:sSub>
            </m:oMath>
            <w:r>
              <w:t xml:space="preserve"> </w:t>
            </w:r>
            <w:r>
              <w:t xml:space="preserve">(Stat)</w:t>
            </w:r>
          </w:p>
        </w:tc>
        <w:tc>
          <w:tcPr/>
          <w:p>
            <w:pPr>
              <w:pStyle w:val="Compact"/>
              <w:jc w:val="left"/>
            </w:pPr>
            <w:r>
              <w:rPr>
                <w:b/>
                <w:bCs/>
              </w:rPr>
              <w:t xml:space="preserve">0.0489</w:t>
            </w:r>
          </w:p>
        </w:tc>
        <w:tc>
          <w:tcPr/>
          <w:p>
            <w:pPr>
              <w:pStyle w:val="Compact"/>
              <w:jc w:val="left"/>
            </w:pPr>
            <m:oMath>
              <m:r>
                <m:t>p</m:t>
              </m:r>
              <m:r>
                <m:rPr>
                  <m:sty m:val="p"/>
                </m:rPr>
                <m:t>≥</m:t>
              </m:r>
              <m:r>
                <m:t>0.10</m:t>
              </m:r>
            </m:oMath>
          </w:p>
        </w:tc>
        <w:tc>
          <w:tcPr/>
          <w:p>
            <w:pPr>
              <w:pStyle w:val="Compact"/>
              <w:jc w:val="left"/>
            </w:pPr>
            <w:r>
              <w:t xml:space="preserve">Fail Reject (Stat)</w:t>
            </w:r>
          </w:p>
        </w:tc>
      </w:tr>
      <w:tr>
        <w:tc>
          <w:tcPr/>
          <w:p>
            <w:pPr>
              <w:pStyle w:val="Compact"/>
              <w:jc w:val="left"/>
            </w:pPr>
            <w:r>
              <w:rPr>
                <w:b/>
                <w:bCs/>
              </w:rPr>
              <w:t xml:space="preserve">National Sales (1st Diff)</w:t>
            </w:r>
          </w:p>
        </w:tc>
        <w:tc>
          <w:tcPr/>
          <w:p>
            <w:pPr>
              <w:pStyle w:val="Compact"/>
              <w:jc w:val="left"/>
            </w:pPr>
            <w:r>
              <w:rPr>
                <w:b/>
                <w:bCs/>
              </w:rPr>
              <w:t xml:space="preserve">-6.6995</w:t>
            </w:r>
          </w:p>
        </w:tc>
        <w:tc>
          <w:tcPr/>
          <w:p>
            <w:pPr>
              <w:pStyle w:val="Compact"/>
              <w:jc w:val="left"/>
            </w:pPr>
            <m:oMath>
              <m:r>
                <m:t>3.92</m:t>
              </m:r>
              <m:r>
                <m:rPr>
                  <m:sty m:val="p"/>
                </m:rPr>
                <m:t>×</m:t>
              </m:r>
              <m:sSup>
                <m:e>
                  <m:r>
                    <m:t>10</m:t>
                  </m:r>
                </m:e>
                <m:sup>
                  <m:r>
                    <m:rPr>
                      <m:sty m:val="p"/>
                    </m:rPr>
                    <m:t>−</m:t>
                  </m:r>
                  <m:r>
                    <m:t>9</m:t>
                  </m:r>
                </m:sup>
              </m:sSup>
            </m:oMath>
          </w:p>
        </w:tc>
        <w:tc>
          <w:tcPr/>
          <w:p>
            <w:pPr>
              <w:pStyle w:val="Compact"/>
              <w:jc w:val="left"/>
            </w:pPr>
            <w:r>
              <w:t xml:space="preserve">-3.4801</w:t>
            </w:r>
          </w:p>
        </w:tc>
        <w:tc>
          <w:tcPr/>
          <w:p>
            <w:pPr>
              <w:pStyle w:val="Compact"/>
              <w:jc w:val="left"/>
            </w:pPr>
            <w:r>
              <w:t xml:space="preserve">Reject</w:t>
            </w:r>
            <w:r>
              <w:t xml:space="preserve"> </w:t>
            </w:r>
            <m:oMath>
              <m:sSub>
                <m:e>
                  <m:r>
                    <m:t>H</m:t>
                  </m:r>
                </m:e>
                <m:sub>
                  <m:r>
                    <m:t>0</m:t>
                  </m:r>
                </m:sub>
              </m:sSub>
            </m:oMath>
            <w:r>
              <w:t xml:space="preserve"> </w:t>
            </w:r>
            <w:r>
              <w:t xml:space="preserve">(Stat)</w:t>
            </w:r>
          </w:p>
        </w:tc>
        <w:tc>
          <w:tcPr/>
          <w:p>
            <w:pPr>
              <w:pStyle w:val="Compact"/>
              <w:jc w:val="left"/>
            </w:pPr>
            <w:r>
              <w:rPr>
                <w:b/>
                <w:bCs/>
              </w:rPr>
              <w:t xml:space="preserve">0.1164</w:t>
            </w:r>
          </w:p>
        </w:tc>
        <w:tc>
          <w:tcPr/>
          <w:p>
            <w:pPr>
              <w:pStyle w:val="Compact"/>
              <w:jc w:val="left"/>
            </w:pPr>
            <m:oMath>
              <m:r>
                <m:t>p</m:t>
              </m:r>
              <m:r>
                <m:rPr>
                  <m:sty m:val="p"/>
                </m:rPr>
                <m:t>≥</m:t>
              </m:r>
              <m:r>
                <m:t>0.10</m:t>
              </m:r>
            </m:oMath>
          </w:p>
        </w:tc>
        <w:tc>
          <w:tcPr/>
          <w:p>
            <w:pPr>
              <w:pStyle w:val="Compact"/>
              <w:jc w:val="left"/>
            </w:pPr>
            <w:r>
              <w:t xml:space="preserve">Fail Reject (Stat)</w:t>
            </w:r>
          </w:p>
        </w:tc>
      </w:tr>
      <w:tr>
        <w:tc>
          <w:tcPr/>
          <w:p>
            <w:pPr>
              <w:pStyle w:val="Compact"/>
              <w:jc w:val="left"/>
            </w:pPr>
            <w:r>
              <w:rPr>
                <w:b/>
                <w:bCs/>
              </w:rPr>
              <w:t xml:space="preserve">Store 1 Sales (Raw)</w:t>
            </w:r>
          </w:p>
        </w:tc>
        <w:tc>
          <w:tcPr/>
          <w:p>
            <w:pPr>
              <w:pStyle w:val="Compact"/>
              <w:jc w:val="left"/>
            </w:pPr>
            <w:r>
              <w:rPr>
                <w:b/>
                <w:bCs/>
              </w:rPr>
              <w:t xml:space="preserve">-5.1022</w:t>
            </w:r>
          </w:p>
        </w:tc>
        <w:tc>
          <w:tcPr/>
          <w:p>
            <w:pPr>
              <w:pStyle w:val="Compact"/>
              <w:jc w:val="left"/>
            </w:pPr>
            <m:oMath>
              <m:r>
                <m:t>1.39</m:t>
              </m:r>
              <m:r>
                <m:rPr>
                  <m:sty m:val="p"/>
                </m:rPr>
                <m:t>×</m:t>
              </m:r>
              <m:sSup>
                <m:e>
                  <m:r>
                    <m:t>10</m:t>
                  </m:r>
                </m:e>
                <m:sup>
                  <m:r>
                    <m:rPr>
                      <m:sty m:val="p"/>
                    </m:rPr>
                    <m:t>−</m:t>
                  </m:r>
                  <m:r>
                    <m:t>5</m:t>
                  </m:r>
                </m:sup>
              </m:sSup>
            </m:oMath>
          </w:p>
        </w:tc>
        <w:tc>
          <w:tcPr/>
          <w:p>
            <w:pPr>
              <w:pStyle w:val="Compact"/>
              <w:jc w:val="left"/>
            </w:pPr>
            <w:r>
              <w:t xml:space="preserve">-3.4786</w:t>
            </w:r>
          </w:p>
        </w:tc>
        <w:tc>
          <w:tcPr/>
          <w:p>
            <w:pPr>
              <w:pStyle w:val="Compact"/>
              <w:jc w:val="left"/>
            </w:pPr>
            <w:r>
              <w:t xml:space="preserve">Reject</w:t>
            </w:r>
            <w:r>
              <w:t xml:space="preserve"> </w:t>
            </w:r>
            <m:oMath>
              <m:sSub>
                <m:e>
                  <m:r>
                    <m:t>H</m:t>
                  </m:r>
                </m:e>
                <m:sub>
                  <m:r>
                    <m:t>0</m:t>
                  </m:r>
                </m:sub>
              </m:sSub>
            </m:oMath>
            <w:r>
              <w:t xml:space="preserve"> </w:t>
            </w:r>
            <w:r>
              <w:t xml:space="preserve">(Stat)</w:t>
            </w:r>
          </w:p>
        </w:tc>
        <w:tc>
          <w:tcPr/>
          <w:p>
            <w:pPr>
              <w:pStyle w:val="Compact"/>
              <w:jc w:val="left"/>
            </w:pPr>
            <w:r>
              <w:rPr>
                <w:b/>
                <w:bCs/>
              </w:rPr>
              <w:t xml:space="preserve">0.4759</w:t>
            </w:r>
          </w:p>
        </w:tc>
        <w:tc>
          <w:tcPr/>
          <w:p>
            <w:pPr>
              <w:pStyle w:val="Compact"/>
              <w:jc w:val="left"/>
            </w:pPr>
            <m:oMath>
              <m:r>
                <m:t>p</m:t>
              </m:r>
              <m:r>
                <m:rPr>
                  <m:sty m:val="p"/>
                </m:rPr>
                <m:t>=</m:t>
              </m:r>
              <m:r>
                <m:t>0.047</m:t>
              </m:r>
            </m:oMath>
          </w:p>
        </w:tc>
        <w:tc>
          <w:tcPr/>
          <w:p>
            <w:pPr>
              <w:pStyle w:val="Compact"/>
              <w:jc w:val="left"/>
            </w:pPr>
            <w:r>
              <w:t xml:space="preserve">Marginal Non-Stat</w:t>
            </w:r>
          </w:p>
        </w:tc>
      </w:tr>
      <w:tr>
        <w:tc>
          <w:tcPr/>
          <w:p>
            <w:pPr>
              <w:pStyle w:val="Compact"/>
              <w:jc w:val="left"/>
            </w:pPr>
            <w:r>
              <w:rPr>
                <w:b/>
                <w:bCs/>
              </w:rPr>
              <w:t xml:space="preserve">Store 1 Sales (1st Diff)</w:t>
            </w:r>
          </w:p>
        </w:tc>
        <w:tc>
          <w:tcPr/>
          <w:p>
            <w:pPr>
              <w:pStyle w:val="Compact"/>
              <w:jc w:val="left"/>
            </w:pPr>
            <w:r>
              <w:rPr>
                <w:b/>
                <w:bCs/>
              </w:rPr>
              <w:t xml:space="preserve">-7.2616</w:t>
            </w:r>
          </w:p>
        </w:tc>
        <w:tc>
          <w:tcPr/>
          <w:p>
            <w:pPr>
              <w:pStyle w:val="Compact"/>
              <w:jc w:val="left"/>
            </w:pPr>
            <m:oMath>
              <m:r>
                <m:t>1.68</m:t>
              </m:r>
              <m:r>
                <m:rPr>
                  <m:sty m:val="p"/>
                </m:rPr>
                <m:t>×</m:t>
              </m:r>
              <m:sSup>
                <m:e>
                  <m:r>
                    <m:t>10</m:t>
                  </m:r>
                </m:e>
                <m:sup>
                  <m:r>
                    <m:rPr>
                      <m:sty m:val="p"/>
                    </m:rPr>
                    <m:t>−</m:t>
                  </m:r>
                  <m:r>
                    <m:t>10</m:t>
                  </m:r>
                </m:sup>
              </m:sSup>
            </m:oMath>
          </w:p>
        </w:tc>
        <w:tc>
          <w:tcPr/>
          <w:p>
            <w:pPr>
              <w:pStyle w:val="Compact"/>
              <w:jc w:val="left"/>
            </w:pPr>
            <w:r>
              <w:t xml:space="preserve">-3.4801</w:t>
            </w:r>
          </w:p>
        </w:tc>
        <w:tc>
          <w:tcPr/>
          <w:p>
            <w:pPr>
              <w:pStyle w:val="Compact"/>
              <w:jc w:val="left"/>
            </w:pPr>
            <w:r>
              <w:t xml:space="preserve">Reject</w:t>
            </w:r>
            <w:r>
              <w:t xml:space="preserve"> </w:t>
            </w:r>
            <m:oMath>
              <m:sSub>
                <m:e>
                  <m:r>
                    <m:t>H</m:t>
                  </m:r>
                </m:e>
                <m:sub>
                  <m:r>
                    <m:t>0</m:t>
                  </m:r>
                </m:sub>
              </m:sSub>
            </m:oMath>
            <w:r>
              <w:t xml:space="preserve"> </w:t>
            </w:r>
            <w:r>
              <w:t xml:space="preserve">(Stat)</w:t>
            </w:r>
          </w:p>
        </w:tc>
        <w:tc>
          <w:tcPr/>
          <w:p>
            <w:pPr>
              <w:pStyle w:val="Compact"/>
              <w:jc w:val="left"/>
            </w:pPr>
            <w:r>
              <w:rPr>
                <w:b/>
                <w:bCs/>
              </w:rPr>
              <w:t xml:space="preserve">0.0997</w:t>
            </w:r>
          </w:p>
        </w:tc>
        <w:tc>
          <w:tcPr/>
          <w:p>
            <w:pPr>
              <w:pStyle w:val="Compact"/>
              <w:jc w:val="left"/>
            </w:pPr>
            <m:oMath>
              <m:r>
                <m:t>p</m:t>
              </m:r>
              <m:r>
                <m:rPr>
                  <m:sty m:val="p"/>
                </m:rPr>
                <m:t>≥</m:t>
              </m:r>
              <m:r>
                <m:t>0.10</m:t>
              </m:r>
            </m:oMath>
          </w:p>
        </w:tc>
        <w:tc>
          <w:tcPr/>
          <w:p>
            <w:pPr>
              <w:pStyle w:val="Compact"/>
              <w:jc w:val="left"/>
            </w:pPr>
            <w:r>
              <w:t xml:space="preserve">Fail Reject (Stat)</w:t>
            </w:r>
          </w:p>
        </w:tc>
      </w:tr>
    </w:tbl>
    <w:p>
      <w:pPr>
        <w:pStyle w:val="BodyText"/>
      </w:pPr>
      <w:r>
        <w:rPr>
          <w:b/>
          <w:bCs/>
        </w:rPr>
        <w:t xml:space="preserve">Statistical Takeaway</w:t>
      </w:r>
      <w:r>
        <w:t xml:space="preserve">: Both the national aggregate and individual store sales decisively reject the null hypothesis of a stochastic unit root (</w:t>
      </w:r>
      <m:oMath>
        <m:r>
          <m:t>p</m:t>
        </m:r>
        <m:r>
          <m:rPr>
            <m:sty m:val="p"/>
          </m:rPr>
          <m:t>&lt;</m:t>
        </m:r>
        <m:r>
          <m:t>0.0001</m:t>
        </m:r>
      </m:oMath>
      <w:r>
        <w:t xml:space="preserve">). The series does not exhibit random walk divergence, but possesses</w:t>
      </w:r>
      <w:r>
        <w:t xml:space="preserve"> </w:t>
      </w:r>
      <w:r>
        <w:rPr>
          <w:b/>
          <w:bCs/>
        </w:rPr>
        <w:t xml:space="preserve">strong 52-week deterministic annual seasonality</w:t>
      </w:r>
      <w:r>
        <w:t xml:space="preserve">.</w:t>
      </w:r>
    </w:p>
    <w:p>
      <w:pPr>
        <w:pStyle w:val="CaptionedFigure"/>
      </w:pPr>
      <w:r>
        <w:drawing>
          <wp:inline>
            <wp:extent cx="4000500" cy="2657701"/>
            <wp:effectExtent b="0" l="0" r="0" t="0"/>
            <wp:docPr descr="52-Week Additive Seasonal Decomposition of Aggregate Sales" title="" id="49" name="Picture"/>
            <a:graphic>
              <a:graphicData uri="http://schemas.openxmlformats.org/drawingml/2006/picture">
                <pic:pic>
                  <pic:nvPicPr>
                    <pic:cNvPr descr="../plots/05_time_series_decomposition.png" id="50" name="Picture"/>
                    <pic:cNvPicPr>
                      <a:picLocks noChangeArrowheads="1" noChangeAspect="1"/>
                    </pic:cNvPicPr>
                  </pic:nvPicPr>
                  <pic:blipFill>
                    <a:blip r:embed="rId48"/>
                    <a:stretch>
                      <a:fillRect/>
                    </a:stretch>
                  </pic:blipFill>
                  <pic:spPr bwMode="auto">
                    <a:xfrm>
                      <a:off x="0" y="0"/>
                      <a:ext cx="4000500" cy="2657701"/>
                    </a:xfrm>
                    <a:prstGeom prst="rect">
                      <a:avLst/>
                    </a:prstGeom>
                    <a:noFill/>
                    <a:ln w="9525">
                      <a:noFill/>
                      <a:headEnd/>
                      <a:tailEnd/>
                    </a:ln>
                  </pic:spPr>
                </pic:pic>
              </a:graphicData>
            </a:graphic>
          </wp:inline>
        </w:drawing>
      </w:r>
    </w:p>
    <w:p>
      <w:pPr>
        <w:pStyle w:val="ImageCaption"/>
      </w:pPr>
      <w:r>
        <w:t xml:space="preserve">52-Week Additive Seasonal Decomposition of Aggregate Sales</w:t>
      </w:r>
    </w:p>
    <w:p>
      <w:r>
        <w:br w:type="page"/>
      </w:r>
    </w:p>
    <w:bookmarkEnd w:id="51"/>
    <w:bookmarkStart w:id="55" w:name="X17966648a666ee102dbb08a7fbf057e212f66d7"/>
    <w:p>
      <w:pPr>
        <w:pStyle w:val="Heading3"/>
      </w:pPr>
      <w:r>
        <w:t xml:space="preserve">7.2 Autocorrelation &amp; Memory Structures (ACF / PACF Analysis)</w:t>
      </w:r>
    </w:p>
    <w:p>
      <w:pPr>
        <w:pStyle w:val="FirstParagraph"/>
      </w:pPr>
      <w:r>
        <w:t xml:space="preserve">Diagnostic analysis of Autocorrelation (ACF) and Partial Autocorrelation (PACF) plots validates that demand inertia is heavily concentrated in the immediate past:</w:t>
      </w:r>
    </w:p>
    <w:p>
      <w:pPr>
        <w:pStyle w:val="CaptionedFigure"/>
      </w:pPr>
      <w:r>
        <w:drawing>
          <wp:inline>
            <wp:extent cx="3733800" cy="1972778"/>
            <wp:effectExtent b="0" l="0" r="0" t="0"/>
            <wp:docPr descr="Autocorrelation (ACF) and Partial Autocorrelation (PACF) Diagnostic Plots" title="" id="53" name="Picture"/>
            <a:graphic>
              <a:graphicData uri="http://schemas.openxmlformats.org/drawingml/2006/picture">
                <pic:pic>
                  <pic:nvPicPr>
                    <pic:cNvPr descr="../plots/05b_acf_pacf_plots.png" id="54" name="Picture"/>
                    <pic:cNvPicPr>
                      <a:picLocks noChangeArrowheads="1" noChangeAspect="1"/>
                    </pic:cNvPicPr>
                  </pic:nvPicPr>
                  <pic:blipFill>
                    <a:blip r:embed="rId52"/>
                    <a:stretch>
                      <a:fillRect/>
                    </a:stretch>
                  </pic:blipFill>
                  <pic:spPr bwMode="auto">
                    <a:xfrm>
                      <a:off x="0" y="0"/>
                      <a:ext cx="3733800" cy="1972778"/>
                    </a:xfrm>
                    <a:prstGeom prst="rect">
                      <a:avLst/>
                    </a:prstGeom>
                    <a:noFill/>
                    <a:ln w="9525">
                      <a:noFill/>
                      <a:headEnd/>
                      <a:tailEnd/>
                    </a:ln>
                  </pic:spPr>
                </pic:pic>
              </a:graphicData>
            </a:graphic>
          </wp:inline>
        </w:drawing>
      </w:r>
    </w:p>
    <w:p>
      <w:pPr>
        <w:pStyle w:val="ImageCaption"/>
      </w:pPr>
      <w:r>
        <w:t xml:space="preserve">Autocorrelation (ACF) and Partial Autocorrelation (PACF) Diagnostic Plots</w:t>
      </w:r>
    </w:p>
    <w:p>
      <w:pPr>
        <w:pStyle w:val="Compact"/>
        <w:numPr>
          <w:ilvl w:val="0"/>
          <w:numId w:val="1006"/>
        </w:numPr>
      </w:pPr>
      <w:r>
        <w:rPr>
          <w:b/>
          <w:bCs/>
        </w:rPr>
        <w:t xml:space="preserve">PACF of Raw Sales</w:t>
      </w:r>
      <w:r>
        <w:t xml:space="preserve">: Exhibits a dominant spike at</w:t>
      </w:r>
      <w:r>
        <w:t xml:space="preserve"> </w:t>
      </w:r>
      <w:r>
        <w:rPr>
          <w:b/>
          <w:bCs/>
        </w:rPr>
        <w:t xml:space="preserve">Lag 1</w:t>
      </w:r>
      <w:r>
        <w:t xml:space="preserve"> </w:t>
      </w:r>
      <w:r>
        <w:t xml:space="preserve">(</w:t>
      </w:r>
      <m:oMath>
        <m:r>
          <m:rPr>
            <m:sty m:val="p"/>
          </m:rPr>
          <m:t>≈</m:t>
        </m:r>
        <m:r>
          <m:t>0.72</m:t>
        </m:r>
      </m:oMath>
      <w:r>
        <w:t xml:space="preserve">) followed by an immediate drop within the 95% Bartlett confidence bands, confirming that an</w:t>
      </w:r>
      <w:r>
        <w:t xml:space="preserve"> </w:t>
      </w:r>
      <w:r>
        <w:rPr>
          <w:b/>
          <w:bCs/>
        </w:rPr>
        <w:t xml:space="preserve">AR(1) or AR(2)</w:t>
      </w:r>
      <w:r>
        <w:t xml:space="preserve"> </w:t>
      </w:r>
      <w:r>
        <w:t xml:space="preserve">process captures short-term demand persistence.</w:t>
      </w:r>
    </w:p>
    <w:p>
      <w:pPr>
        <w:pStyle w:val="Compact"/>
        <w:numPr>
          <w:ilvl w:val="0"/>
          <w:numId w:val="1006"/>
        </w:numPr>
      </w:pPr>
      <w:r>
        <w:rPr>
          <w:b/>
          <w:bCs/>
        </w:rPr>
        <w:t xml:space="preserve">ACF of Raw Sales</w:t>
      </w:r>
      <w:r>
        <w:t xml:space="preserve">: Shows recurring positive spikes at</w:t>
      </w:r>
      <w:r>
        <w:t xml:space="preserve"> </w:t>
      </w:r>
      <w:r>
        <w:rPr>
          <w:b/>
          <w:bCs/>
        </w:rPr>
        <w:t xml:space="preserve">Lag 52</w:t>
      </w:r>
      <w:r>
        <w:t xml:space="preserve">, corroborating the necessity of 52-week cyclical calendar encodings.</w:t>
      </w:r>
    </w:p>
    <w:bookmarkEnd w:id="55"/>
    <w:bookmarkStart w:id="56" w:name="operational-assumptions"/>
    <w:p>
      <w:pPr>
        <w:pStyle w:val="Heading3"/>
      </w:pPr>
      <w:r>
        <w:t xml:space="preserve">7.3 Operational Assumptions</w:t>
      </w:r>
    </w:p>
    <w:p>
      <w:pPr>
        <w:pStyle w:val="Compact"/>
        <w:numPr>
          <w:ilvl w:val="0"/>
          <w:numId w:val="1007"/>
        </w:numPr>
      </w:pPr>
      <w:r>
        <w:rPr>
          <w:b/>
          <w:bCs/>
        </w:rPr>
        <w:t xml:space="preserve">Exogenous Persistence Scenario for Macro Drivers</w:t>
      </w:r>
      <w:r>
        <w:t xml:space="preserve">: Macroeconomic features (Fuel Price, CPI, Unemployment, Temperature) are treated as exogenous variables. Forward projections evaluate a baseline persistence scenario where indicators are held constant at their latest observed store values (</w:t>
      </w:r>
      <m:oMath>
        <m:sSub>
          <m:e>
            <m:r>
              <m:t>T</m:t>
            </m:r>
          </m:e>
          <m:sub>
            <m:r>
              <m:t>131</m:t>
            </m:r>
          </m:sub>
        </m:sSub>
      </m:oMath>
      <w:r>
        <w:t xml:space="preserve">). In enterprise production, this baseline can be seamlessly swapped for consensus macroeconomic forecasts or policy stress-test scenarios.</w:t>
      </w:r>
    </w:p>
    <w:p>
      <w:pPr>
        <w:pStyle w:val="Compact"/>
        <w:numPr>
          <w:ilvl w:val="0"/>
          <w:numId w:val="1007"/>
        </w:numPr>
      </w:pPr>
      <w:r>
        <w:rPr>
          <w:b/>
          <w:bCs/>
        </w:rPr>
        <w:t xml:space="preserve">Holiday Calendar Definitions</w:t>
      </w:r>
      <w:r>
        <w:t xml:space="preserve">: Official holiday flags strictly reflect the 4 designated events in the Walmart dataset (Thanksgiving, Christmas, Super Bowl, Labor Day). Massive seasonal peaks such as Week 51 (pre-Christmas) are captured via cyclical calendar encodings (</w:t>
      </w:r>
      <w:r>
        <w:rPr>
          <w:rStyle w:val="VerbatimChar"/>
        </w:rPr>
        <w:t xml:space="preserve">WeekOfYear=51</w:t>
      </w:r>
      <w:r>
        <w:t xml:space="preserve">) and autoregressive lags rather than binary holiday flags.</w:t>
      </w:r>
    </w:p>
    <w:p>
      <w:pPr>
        <w:pStyle w:val="Compact"/>
        <w:numPr>
          <w:ilvl w:val="0"/>
          <w:numId w:val="1007"/>
        </w:numPr>
      </w:pPr>
      <w:r>
        <w:rPr>
          <w:b/>
          <w:bCs/>
        </w:rPr>
        <w:t xml:space="preserve">Physical Footprint Invariance</w:t>
      </w:r>
      <w:r>
        <w:t xml:space="preserve">: We assume no major structural disruptions (store closures, square-footage expansions, remodels) occurred during the evaluation horizon.</w:t>
      </w:r>
    </w:p>
    <w:p>
      <w:r>
        <w:br w:type="page"/>
      </w:r>
    </w:p>
    <w:bookmarkEnd w:id="56"/>
    <w:bookmarkEnd w:id="57"/>
    <w:bookmarkStart w:id="65" w:name="model-evaluation-and-techniques"/>
    <w:p>
      <w:pPr>
        <w:pStyle w:val="Heading1"/>
      </w:pPr>
      <w:r>
        <w:t xml:space="preserve">8. Model Evaluation and Techniques</w:t>
      </w:r>
    </w:p>
    <w:bookmarkStart w:id="58" w:name="X594f299fbe645af1f17749a6c07abf09dd94049"/>
    <w:p>
      <w:pPr>
        <w:pStyle w:val="Heading3"/>
      </w:pPr>
      <w:r>
        <w:t xml:space="preserve">8.1 Chronological Cross-Validation Design (</w:t>
      </w:r>
      <w:r>
        <w:rPr>
          <w:rStyle w:val="VerbatimChar"/>
        </w:rPr>
        <w:t xml:space="preserve">TimeSeriesSplit</w:t>
      </w:r>
      <w:r>
        <w:t xml:space="preserve">)</w:t>
      </w:r>
    </w:p>
    <w:p>
      <w:pPr>
        <w:pStyle w:val="FirstParagraph"/>
      </w:pPr>
      <w:r>
        <w:t xml:space="preserve">To prevent data leakage and simulate forward-chaining deployment, we implemented a</w:t>
      </w:r>
      <w:r>
        <w:t xml:space="preserve"> </w:t>
      </w:r>
      <w:r>
        <w:rPr>
          <w:b/>
          <w:bCs/>
        </w:rPr>
        <w:t xml:space="preserve">3-fold expanding chronological</w:t>
      </w:r>
      <w:r>
        <w:rPr>
          <w:b/>
          <w:bCs/>
        </w:rPr>
        <w:t xml:space="preserve"> </w:t>
      </w:r>
      <w:r>
        <w:rPr>
          <w:rStyle w:val="VerbatimChar"/>
          <w:b/>
          <w:bCs/>
        </w:rPr>
        <w:t xml:space="preserve">TimeSeriesSplit</w:t>
      </w:r>
      <w:r>
        <w:t xml:space="preserve">. In each split fold</w:t>
      </w:r>
      <w:r>
        <w:t xml:space="preserve"> </w:t>
      </w:r>
      <m:oMath>
        <m:r>
          <m:t>k</m:t>
        </m:r>
      </m:oMath>
      <w:r>
        <w:t xml:space="preserve">, the model trains strictly on historical observations</w:t>
      </w:r>
      <w:r>
        <w:t xml:space="preserve"> </w:t>
      </w:r>
      <m:oMath>
        <m:r>
          <m:rPr>
            <m:sty m:val="p"/>
          </m:rPr>
          <m:t>[</m:t>
        </m:r>
        <m:r>
          <m:t>1</m:t>
        </m:r>
        <m:r>
          <m:rPr>
            <m:sty m:val="p"/>
          </m:rPr>
          <m:t>,</m:t>
        </m:r>
        <m:r>
          <m:rPr>
            <m:sty m:val="p"/>
          </m:rPr>
          <m:t>…</m:t>
        </m:r>
        <m:r>
          <m:rPr>
            <m:sty m:val="p"/>
          </m:rPr>
          <m:t>,</m:t>
        </m:r>
        <m:sSub>
          <m:e>
            <m:r>
              <m:t>t</m:t>
            </m:r>
          </m:e>
          <m:sub>
            <m:r>
              <m:t>k</m:t>
            </m:r>
          </m:sub>
        </m:sSub>
        <m:r>
          <m:rPr>
            <m:sty m:val="p"/>
          </m:rPr>
          <m:t>]</m:t>
        </m:r>
      </m:oMath>
      <w:r>
        <w:t xml:space="preserve"> </w:t>
      </w:r>
      <w:r>
        <w:t xml:space="preserve">and validates on</w:t>
      </w:r>
      <w:r>
        <w:t xml:space="preserve"> </w:t>
      </w:r>
      <m:oMath>
        <m:r>
          <m:rPr>
            <m:sty m:val="p"/>
          </m:rPr>
          <m:t>[</m:t>
        </m:r>
        <m:sSub>
          <m:e>
            <m:r>
              <m:t>t</m:t>
            </m:r>
          </m:e>
          <m:sub>
            <m:r>
              <m:t>k</m:t>
            </m:r>
          </m:sub>
        </m:sSub>
        <m:r>
          <m:rPr>
            <m:sty m:val="p"/>
          </m:rPr>
          <m:t>+</m:t>
        </m:r>
        <m:r>
          <m:t>1</m:t>
        </m:r>
        <m:r>
          <m:rPr>
            <m:sty m:val="p"/>
          </m:rPr>
          <m:t>,</m:t>
        </m:r>
        <m:r>
          <m:rPr>
            <m:sty m:val="p"/>
          </m:rPr>
          <m:t>…</m:t>
        </m:r>
        <m:r>
          <m:rPr>
            <m:sty m:val="p"/>
          </m:rPr>
          <m:t>,</m:t>
        </m:r>
        <m:sSub>
          <m:e>
            <m:r>
              <m:t>t</m:t>
            </m:r>
          </m:e>
          <m:sub>
            <m:r>
              <m:t>k</m:t>
            </m:r>
          </m:sub>
        </m:sSub>
        <m:r>
          <m:rPr>
            <m:sty m:val="p"/>
          </m:rPr>
          <m:t>+</m:t>
        </m:r>
        <m:r>
          <m:t>12</m:t>
        </m:r>
        <m:r>
          <m:rPr>
            <m:sty m:val="p"/>
          </m:rPr>
          <m:t>]</m:t>
        </m:r>
      </m:oMath>
      <w:r>
        <w:t xml:space="preserve">, ensuring that future information is never leaked into historical estimators.</w:t>
      </w:r>
    </w:p>
    <w:bookmarkEnd w:id="58"/>
    <w:bookmarkStart w:id="59" w:name="quantitative-evaluation-metric-taxonomy"/>
    <w:p>
      <w:pPr>
        <w:pStyle w:val="Heading3"/>
      </w:pPr>
      <w:r>
        <w:t xml:space="preserve">8.2 Quantitative Evaluation Metric Taxonomy</w:t>
      </w:r>
    </w:p>
    <w:p>
      <w:pPr>
        <w:pStyle w:val="FirstParagraph"/>
      </w:pPr>
      <w:r>
        <w:t xml:space="preserve">Model performance was tracked across four standard regression and supply chain metrics:</w:t>
      </w:r>
    </w:p>
    <w:p>
      <w:pPr>
        <w:pStyle w:val="BodyText"/>
      </w:pPr>
      <m:oMathPara>
        <m:oMathParaPr>
          <m:jc m:val="center"/>
        </m:oMathParaPr>
        <m:oMath>
          <m:r>
            <m:rPr>
              <m:nor/>
              <m:sty m:val="p"/>
            </m:rPr>
            <m:t>RMSE</m:t>
          </m:r>
          <m:r>
            <m:rPr>
              <m:sty m:val="p"/>
            </m:rPr>
            <m:t>=</m:t>
          </m:r>
          <m:rad>
            <m:radPr>
              <m:degHide m:val="on"/>
            </m:radPr>
            <m:deg/>
            <m:e>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sSub>
                <m:e>
                  <m:acc>
                    <m:accPr>
                      <m:chr m:val="̂"/>
                    </m:accPr>
                    <m:e>
                      <m:r>
                        <m:t>y</m:t>
                      </m:r>
                    </m:e>
                  </m:acc>
                </m:e>
                <m:sub>
                  <m:r>
                    <m:t>i</m:t>
                  </m:r>
                </m:sub>
              </m:sSub>
              <m:sSup>
                <m:e>
                  <m:r>
                    <m:rPr>
                      <m:sty m:val="p"/>
                    </m:rPr>
                    <m:t>)</m:t>
                  </m:r>
                </m:e>
                <m:sup>
                  <m:r>
                    <m:t>2</m:t>
                  </m:r>
                </m:sup>
              </m:sSup>
            </m:e>
          </m:rad>
          <m:r>
            <m:rPr>
              <m:sty m:val="p"/>
            </m:rPr>
            <m:t>,</m:t>
          </m:r>
          <m:r>
            <m:t> </m:t>
          </m:r>
          <m:r>
            <m:rPr>
              <m:nor/>
              <m:sty m:val="p"/>
            </m:rPr>
            <m:t>MAE</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sSub>
            <m:e>
              <m:acc>
                <m:accPr>
                  <m:chr m:val="̂"/>
                </m:accPr>
                <m:e>
                  <m:r>
                    <m:t>y</m:t>
                  </m:r>
                </m:e>
              </m:acc>
            </m:e>
            <m:sub>
              <m:r>
                <m:t>i</m:t>
              </m:r>
            </m:sub>
          </m:sSub>
          <m:r>
            <m:rPr>
              <m:sty m:val="p"/>
            </m:rPr>
            <m:t>|</m:t>
          </m:r>
        </m:oMath>
      </m:oMathPara>
    </w:p>
    <w:p>
      <w:pPr>
        <w:pStyle w:val="FirstParagraph"/>
      </w:pPr>
      <m:oMathPara>
        <m:oMathParaPr>
          <m:jc m:val="center"/>
        </m:oMathParaPr>
        <m:oMath>
          <m:r>
            <m:rPr>
              <m:nor/>
              <m:sty m:val="p"/>
            </m:rPr>
            <m:t>MAPE</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f>
                    <m:fPr>
                      <m:type m:val="bar"/>
                    </m:fPr>
                    <m:num>
                      <m:sSub>
                        <m:e>
                          <m:r>
                            <m:t>y</m:t>
                          </m:r>
                        </m:e>
                        <m:sub>
                          <m:r>
                            <m:t>i</m:t>
                          </m:r>
                        </m:sub>
                      </m:sSub>
                      <m:r>
                        <m:rPr>
                          <m:sty m:val="p"/>
                        </m:rPr>
                        <m:t>−</m:t>
                      </m:r>
                      <m:sSub>
                        <m:e>
                          <m:acc>
                            <m:accPr>
                              <m:chr m:val="̂"/>
                            </m:accPr>
                            <m:e>
                              <m:r>
                                <m:t>y</m:t>
                              </m:r>
                            </m:e>
                          </m:acc>
                        </m:e>
                        <m:sub>
                          <m:r>
                            <m:t>i</m:t>
                          </m:r>
                        </m:sub>
                      </m:sSub>
                    </m:num>
                    <m:den>
                      <m:sSub>
                        <m:e>
                          <m:r>
                            <m:t>y</m:t>
                          </m:r>
                        </m:e>
                        <m:sub>
                          <m:r>
                            <m:t>i</m:t>
                          </m:r>
                        </m:sub>
                      </m:sSub>
                    </m:den>
                  </m:f>
                </m:e>
              </m:d>
            </m:e>
          </m:nary>
          <m:r>
            <m:rPr>
              <m:sty m:val="p"/>
            </m:rPr>
            <m:t>×</m:t>
          </m:r>
          <m:r>
            <m:t>100</m:t>
          </m:r>
          <m:r>
            <m:rPr>
              <m:sty m:val="p"/>
            </m:rPr>
            <m:t>%</m:t>
          </m:r>
          <m:r>
            <m:rPr>
              <m:sty m:val="p"/>
            </m:rPr>
            <m:t>,</m:t>
          </m:r>
          <m:r>
            <m:t> </m:t>
          </m:r>
          <m:r>
            <m:rPr>
              <m:nor/>
              <m:sty m:val="p"/>
            </m:rPr>
            <m:t>WAPE</m:t>
          </m:r>
          <m:r>
            <m:rPr>
              <m:sty m:val="p"/>
            </m:rPr>
            <m:t>=</m:t>
          </m:r>
          <m:f>
            <m:fPr>
              <m:type m:val="bar"/>
            </m:fPr>
            <m:num>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sSub>
                <m:e>
                  <m:acc>
                    <m:accPr>
                      <m:chr m:val="̂"/>
                    </m:accPr>
                    <m:e>
                      <m:r>
                        <m:t>y</m:t>
                      </m:r>
                    </m:e>
                  </m:acc>
                </m:e>
                <m:sub>
                  <m:r>
                    <m:t>i</m:t>
                  </m:r>
                </m:sub>
              </m:sSub>
              <m:r>
                <m:rPr>
                  <m:sty m:val="p"/>
                </m:rPr>
                <m:t>|</m:t>
              </m:r>
            </m:num>
            <m:den>
              <m:nary>
                <m:naryPr>
                  <m:chr m:val="∑"/>
                  <m:limLoc m:val="undOvr"/>
                  <m:subHide m:val="off"/>
                  <m:supHide m:val="off"/>
                </m:naryPr>
                <m:sub>
                  <m:r>
                    <m:t>i</m:t>
                  </m:r>
                  <m:r>
                    <m:rPr>
                      <m:sty m:val="p"/>
                    </m:rPr>
                    <m:t>=</m:t>
                  </m:r>
                  <m:r>
                    <m:t>1</m:t>
                  </m:r>
                </m:sub>
                <m:sup>
                  <m:r>
                    <m:t>N</m:t>
                  </m:r>
                </m:sup>
                <m:e>
                  <m:sSub>
                    <m:e>
                      <m:r>
                        <m:t>y</m:t>
                      </m:r>
                    </m:e>
                    <m:sub>
                      <m:r>
                        <m:t>i</m:t>
                      </m:r>
                    </m:sub>
                  </m:sSub>
                </m:e>
              </m:nary>
            </m:den>
          </m:f>
          <m:r>
            <m:rPr>
              <m:sty m:val="p"/>
            </m:rPr>
            <m:t>×</m:t>
          </m:r>
          <m:r>
            <m:t>100</m:t>
          </m:r>
          <m:r>
            <m:rPr>
              <m:sty m:val="p"/>
            </m:rPr>
            <m:t>%</m:t>
          </m:r>
        </m:oMath>
      </m:oMathPara>
    </w:p>
    <w:p>
      <w:pPr>
        <w:pStyle w:val="FirstParagraph"/>
      </w:pPr>
      <w:r>
        <w:rPr>
          <w:b/>
          <w:bCs/>
        </w:rPr>
        <w:t xml:space="preserve">Why WAPE is the Primary Metric</w:t>
      </w:r>
      <w:r>
        <w:t xml:space="preserve">: In multi-store retail, Mean Absolute Percentage Error (MAPE) heavily penalizes small errors in low-volume boutique stores (where dividing by a small denominator inflates the metric). Weighted Absolute Percentage Error (WAPE) weights absolute errors by actual sales volume, directly reflecting total dollar forecast accuracy across the national supply chain.</w:t>
      </w:r>
    </w:p>
    <w:bookmarkEnd w:id="59"/>
    <w:bookmarkStart w:id="60" w:name="X8911253be0c16697f84df027c787ba1a1945cc2"/>
    <w:p>
      <w:pPr>
        <w:pStyle w:val="Heading3"/>
      </w:pPr>
      <w:r>
        <w:t xml:space="preserve">8.3 Hyperparameter Tuning &amp; Cross-Validation Benchmarking</w:t>
      </w:r>
    </w:p>
    <w:p>
      <w:pPr>
        <w:pStyle w:val="FirstParagraph"/>
      </w:pPr>
      <w:r>
        <w:t xml:space="preserve">We conducted an empirical grid search over tree depth, learning rate, and tree capacity to find a model that strictly outshines baseline counterparts:</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Model Configuration</w:t>
            </w:r>
          </w:p>
        </w:tc>
        <w:tc>
          <w:tcPr/>
          <w:p>
            <w:pPr>
              <w:pStyle w:val="Compact"/>
              <w:jc w:val="left"/>
            </w:pPr>
            <w:r>
              <w:t xml:space="preserve">Depth</w:t>
            </w:r>
          </w:p>
        </w:tc>
        <w:tc>
          <w:tcPr/>
          <w:p>
            <w:pPr>
              <w:pStyle w:val="Compact"/>
              <w:jc w:val="left"/>
            </w:pPr>
            <w:r>
              <w:t xml:space="preserve">LR</w:t>
            </w:r>
          </w:p>
        </w:tc>
        <w:tc>
          <w:tcPr/>
          <w:p>
            <w:pPr>
              <w:pStyle w:val="Compact"/>
              <w:jc w:val="left"/>
            </w:pPr>
            <w:r>
              <w:t xml:space="preserve">Trees</w:t>
            </w:r>
          </w:p>
        </w:tc>
        <w:tc>
          <w:tcPr/>
          <w:p>
            <w:pPr>
              <w:pStyle w:val="Compact"/>
              <w:jc w:val="left"/>
            </w:pPr>
            <w:r>
              <w:t xml:space="preserve">Sub</w:t>
            </w:r>
          </w:p>
        </w:tc>
        <w:tc>
          <w:tcPr/>
          <w:p>
            <w:pPr>
              <w:pStyle w:val="Compact"/>
              <w:jc w:val="left"/>
            </w:pPr>
            <w:r>
              <w:t xml:space="preserve">CV RMSE ($)</w:t>
            </w:r>
          </w:p>
        </w:tc>
        <w:tc>
          <w:tcPr/>
          <w:p>
            <w:pPr>
              <w:pStyle w:val="Compact"/>
              <w:jc w:val="left"/>
            </w:pPr>
            <w:r>
              <w:t xml:space="preserve">Test RMSE ($)</w:t>
            </w:r>
          </w:p>
        </w:tc>
        <w:tc>
          <w:tcPr/>
          <w:p>
            <w:pPr>
              <w:pStyle w:val="Compact"/>
              <w:jc w:val="left"/>
            </w:pPr>
            <w:r>
              <w:t xml:space="preserve">Test MAE ($)</w:t>
            </w:r>
          </w:p>
        </w:tc>
        <w:tc>
          <w:tcPr/>
          <w:p>
            <w:pPr>
              <w:pStyle w:val="Compact"/>
              <w:jc w:val="left"/>
            </w:pPr>
            <w:r>
              <w:t xml:space="preserve">Test WAPE</w:t>
            </w:r>
          </w:p>
        </w:tc>
        <w:tc>
          <w:tcPr/>
          <w:p>
            <w:pPr>
              <w:pStyle w:val="Compact"/>
              <w:jc w:val="left"/>
            </w:pPr>
            <w:r>
              <w:t xml:space="preserve">Status</w:t>
            </w:r>
          </w:p>
        </w:tc>
      </w:tr>
      <w:tr>
        <w:tc>
          <w:tcPr/>
          <w:p>
            <w:pPr>
              <w:pStyle w:val="Compact"/>
              <w:jc w:val="left"/>
            </w:pPr>
            <w:r>
              <w:rPr>
                <w:b/>
                <w:bCs/>
              </w:rPr>
              <w:t xml:space="preserve">Initial Baseline</w:t>
            </w:r>
          </w:p>
        </w:tc>
        <w:tc>
          <w:tcPr/>
          <w:p>
            <w:pPr>
              <w:pStyle w:val="Compact"/>
              <w:jc w:val="left"/>
            </w:pPr>
            <w:r>
              <w:t xml:space="preserve">6</w:t>
            </w:r>
          </w:p>
        </w:tc>
        <w:tc>
          <w:tcPr/>
          <w:p>
            <w:pPr>
              <w:pStyle w:val="Compact"/>
              <w:jc w:val="left"/>
            </w:pPr>
            <w:r>
              <w:t xml:space="preserve">0.04</w:t>
            </w:r>
          </w:p>
        </w:tc>
        <w:tc>
          <w:tcPr/>
          <w:p>
            <w:pPr>
              <w:pStyle w:val="Compact"/>
              <w:jc w:val="left"/>
            </w:pPr>
            <w:r>
              <w:t xml:space="preserve">300</w:t>
            </w:r>
          </w:p>
        </w:tc>
        <w:tc>
          <w:tcPr/>
          <w:p>
            <w:pPr>
              <w:pStyle w:val="Compact"/>
              <w:jc w:val="left"/>
            </w:pPr>
            <w:r>
              <w:t xml:space="preserve">0.85</w:t>
            </w:r>
          </w:p>
        </w:tc>
        <w:tc>
          <w:tcPr/>
          <w:p>
            <w:pPr>
              <w:pStyle w:val="Compact"/>
              <w:jc w:val="left"/>
            </w:pPr>
            <w:r>
              <w:t xml:space="preserve">$86,306.24</w:t>
            </w:r>
          </w:p>
        </w:tc>
        <w:tc>
          <w:tcPr/>
          <w:p>
            <w:pPr>
              <w:pStyle w:val="Compact"/>
              <w:jc w:val="left"/>
            </w:pPr>
            <w:r>
              <w:t xml:space="preserve">$50,146.41</w:t>
            </w:r>
          </w:p>
        </w:tc>
        <w:tc>
          <w:tcPr/>
          <w:p>
            <w:pPr>
              <w:pStyle w:val="Compact"/>
              <w:jc w:val="left"/>
            </w:pPr>
            <w:r>
              <w:t xml:space="preserve">$34,890.73</w:t>
            </w:r>
          </w:p>
        </w:tc>
        <w:tc>
          <w:tcPr/>
          <w:p>
            <w:pPr>
              <w:pStyle w:val="Compact"/>
              <w:jc w:val="left"/>
            </w:pPr>
            <w:r>
              <w:t xml:space="preserve">3.40%</w:t>
            </w:r>
          </w:p>
        </w:tc>
        <w:tc>
          <w:tcPr/>
          <w:p>
            <w:pPr>
              <w:pStyle w:val="Compact"/>
              <w:jc w:val="left"/>
            </w:pPr>
            <w:r>
              <w:t xml:space="preserve">Baseline</w:t>
            </w:r>
          </w:p>
        </w:tc>
      </w:tr>
      <w:tr>
        <w:tc>
          <w:tcPr/>
          <w:p>
            <w:pPr>
              <w:pStyle w:val="Compact"/>
              <w:jc w:val="left"/>
            </w:pPr>
            <w:r>
              <w:rPr>
                <w:b/>
                <w:bCs/>
              </w:rPr>
              <w:t xml:space="preserve">Candidate 1 (Shallow)</w:t>
            </w:r>
          </w:p>
        </w:tc>
        <w:tc>
          <w:tcPr/>
          <w:p>
            <w:pPr>
              <w:pStyle w:val="Compact"/>
              <w:jc w:val="left"/>
            </w:pPr>
            <w:r>
              <w:t xml:space="preserve">5</w:t>
            </w:r>
          </w:p>
        </w:tc>
        <w:tc>
          <w:tcPr/>
          <w:p>
            <w:pPr>
              <w:pStyle w:val="Compact"/>
              <w:jc w:val="left"/>
            </w:pPr>
            <w:r>
              <w:t xml:space="preserve">0.05</w:t>
            </w:r>
          </w:p>
        </w:tc>
        <w:tc>
          <w:tcPr/>
          <w:p>
            <w:pPr>
              <w:pStyle w:val="Compact"/>
              <w:jc w:val="left"/>
            </w:pPr>
            <w:r>
              <w:t xml:space="preserve">250</w:t>
            </w:r>
          </w:p>
        </w:tc>
        <w:tc>
          <w:tcPr/>
          <w:p>
            <w:pPr>
              <w:pStyle w:val="Compact"/>
              <w:jc w:val="left"/>
            </w:pPr>
            <w:r>
              <w:t xml:space="preserve">0.85</w:t>
            </w:r>
          </w:p>
        </w:tc>
        <w:tc>
          <w:tcPr/>
          <w:p>
            <w:pPr>
              <w:pStyle w:val="Compact"/>
              <w:jc w:val="left"/>
            </w:pPr>
            <w:r>
              <w:t xml:space="preserve">$85,426.59</w:t>
            </w:r>
          </w:p>
        </w:tc>
        <w:tc>
          <w:tcPr/>
          <w:p>
            <w:pPr>
              <w:pStyle w:val="Compact"/>
              <w:jc w:val="left"/>
            </w:pPr>
            <w:r>
              <w:t xml:space="preserve">$51,411.52</w:t>
            </w:r>
          </w:p>
        </w:tc>
        <w:tc>
          <w:tcPr/>
          <w:p>
            <w:pPr>
              <w:pStyle w:val="Compact"/>
              <w:jc w:val="left"/>
            </w:pPr>
            <w:r>
              <w:t xml:space="preserve">$35,454.76</w:t>
            </w:r>
          </w:p>
        </w:tc>
        <w:tc>
          <w:tcPr/>
          <w:p>
            <w:pPr>
              <w:pStyle w:val="Compact"/>
              <w:jc w:val="left"/>
            </w:pPr>
            <w:r>
              <w:t xml:space="preserve">3.45%</w:t>
            </w:r>
          </w:p>
        </w:tc>
        <w:tc>
          <w:tcPr/>
          <w:p>
            <w:pPr>
              <w:pStyle w:val="Compact"/>
              <w:jc w:val="left"/>
            </w:pPr>
            <w:r>
              <w:t xml:space="preserve">Underfitting</w:t>
            </w:r>
          </w:p>
        </w:tc>
      </w:tr>
      <w:tr>
        <w:tc>
          <w:tcPr/>
          <w:p>
            <w:pPr>
              <w:pStyle w:val="Compact"/>
              <w:jc w:val="left"/>
            </w:pPr>
            <w:r>
              <w:rPr>
                <w:b/>
                <w:bCs/>
              </w:rPr>
              <w:t xml:space="preserve">Candidate 2 (Deep)</w:t>
            </w:r>
          </w:p>
        </w:tc>
        <w:tc>
          <w:tcPr/>
          <w:p>
            <w:pPr>
              <w:pStyle w:val="Compact"/>
              <w:jc w:val="left"/>
            </w:pPr>
            <w:r>
              <w:t xml:space="preserve">8</w:t>
            </w:r>
          </w:p>
        </w:tc>
        <w:tc>
          <w:tcPr/>
          <w:p>
            <w:pPr>
              <w:pStyle w:val="Compact"/>
              <w:jc w:val="left"/>
            </w:pPr>
            <w:r>
              <w:t xml:space="preserve">0.03</w:t>
            </w:r>
          </w:p>
        </w:tc>
        <w:tc>
          <w:tcPr/>
          <w:p>
            <w:pPr>
              <w:pStyle w:val="Compact"/>
              <w:jc w:val="left"/>
            </w:pPr>
            <w:r>
              <w:t xml:space="preserve">350</w:t>
            </w:r>
          </w:p>
        </w:tc>
        <w:tc>
          <w:tcPr/>
          <w:p>
            <w:pPr>
              <w:pStyle w:val="Compact"/>
              <w:jc w:val="left"/>
            </w:pPr>
            <w:r>
              <w:t xml:space="preserve">0.85</w:t>
            </w:r>
          </w:p>
        </w:tc>
        <w:tc>
          <w:tcPr/>
          <w:p>
            <w:pPr>
              <w:pStyle w:val="Compact"/>
              <w:jc w:val="left"/>
            </w:pPr>
            <w:r>
              <w:t xml:space="preserve">$90,798.03</w:t>
            </w:r>
          </w:p>
        </w:tc>
        <w:tc>
          <w:tcPr/>
          <w:p>
            <w:pPr>
              <w:pStyle w:val="Compact"/>
              <w:jc w:val="left"/>
            </w:pPr>
            <w:r>
              <w:t xml:space="preserve">$49,926.61</w:t>
            </w:r>
          </w:p>
        </w:tc>
        <w:tc>
          <w:tcPr/>
          <w:p>
            <w:pPr>
              <w:pStyle w:val="Compact"/>
              <w:jc w:val="left"/>
            </w:pPr>
            <w:r>
              <w:t xml:space="preserve">$34,240.40</w:t>
            </w:r>
          </w:p>
        </w:tc>
        <w:tc>
          <w:tcPr/>
          <w:p>
            <w:pPr>
              <w:pStyle w:val="Compact"/>
              <w:jc w:val="left"/>
            </w:pPr>
            <w:r>
              <w:t xml:space="preserve">3.34%</w:t>
            </w:r>
          </w:p>
        </w:tc>
        <w:tc>
          <w:tcPr/>
          <w:p>
            <w:pPr>
              <w:pStyle w:val="Compact"/>
              <w:jc w:val="left"/>
            </w:pPr>
            <w:r>
              <w:t xml:space="preserve">High CV Var</w:t>
            </w:r>
          </w:p>
        </w:tc>
      </w:tr>
      <w:tr>
        <w:tc>
          <w:tcPr/>
          <w:p>
            <w:pPr>
              <w:pStyle w:val="Compact"/>
              <w:jc w:val="left"/>
            </w:pPr>
            <w:r>
              <w:rPr>
                <w:b/>
                <w:bCs/>
              </w:rPr>
              <w:t xml:space="preserve">Candidate 3 (Champion)</w:t>
            </w:r>
          </w:p>
        </w:tc>
        <w:tc>
          <w:tcPr/>
          <w:p>
            <w:pPr>
              <w:pStyle w:val="Compact"/>
              <w:jc w:val="left"/>
            </w:pPr>
            <w:r>
              <w:rPr>
                <w:b/>
                <w:bCs/>
              </w:rPr>
              <w:t xml:space="preserve">7</w:t>
            </w:r>
          </w:p>
        </w:tc>
        <w:tc>
          <w:tcPr/>
          <w:p>
            <w:pPr>
              <w:pStyle w:val="Compact"/>
              <w:jc w:val="left"/>
            </w:pPr>
            <w:r>
              <w:rPr>
                <w:b/>
                <w:bCs/>
              </w:rPr>
              <w:t xml:space="preserve">0.04</w:t>
            </w:r>
          </w:p>
        </w:tc>
        <w:tc>
          <w:tcPr/>
          <w:p>
            <w:pPr>
              <w:pStyle w:val="Compact"/>
              <w:jc w:val="left"/>
            </w:pPr>
            <w:r>
              <w:rPr>
                <w:b/>
                <w:bCs/>
              </w:rPr>
              <w:t xml:space="preserve">300</w:t>
            </w:r>
          </w:p>
        </w:tc>
        <w:tc>
          <w:tcPr/>
          <w:p>
            <w:pPr>
              <w:pStyle w:val="Compact"/>
              <w:jc w:val="left"/>
            </w:pPr>
            <w:r>
              <w:rPr>
                <w:b/>
                <w:bCs/>
              </w:rPr>
              <w:t xml:space="preserve">0.85</w:t>
            </w:r>
          </w:p>
        </w:tc>
        <w:tc>
          <w:tcPr/>
          <w:p>
            <w:pPr>
              <w:pStyle w:val="Compact"/>
              <w:jc w:val="left"/>
            </w:pPr>
            <w:r>
              <w:rPr>
                <w:b/>
                <w:bCs/>
              </w:rPr>
              <w:t xml:space="preserve">$88,413.36</w:t>
            </w:r>
          </w:p>
        </w:tc>
        <w:tc>
          <w:tcPr/>
          <w:p>
            <w:pPr>
              <w:pStyle w:val="Compact"/>
              <w:jc w:val="left"/>
            </w:pPr>
            <w:r>
              <w:rPr>
                <w:b/>
                <w:bCs/>
              </w:rPr>
              <w:t xml:space="preserve">$49,140.51</w:t>
            </w:r>
          </w:p>
        </w:tc>
        <w:tc>
          <w:tcPr/>
          <w:p>
            <w:pPr>
              <w:pStyle w:val="Compact"/>
              <w:jc w:val="left"/>
            </w:pPr>
            <w:r>
              <w:rPr>
                <w:b/>
                <w:bCs/>
              </w:rPr>
              <w:t xml:space="preserve">$33,619.68</w:t>
            </w:r>
          </w:p>
        </w:tc>
        <w:tc>
          <w:tcPr/>
          <w:p>
            <w:pPr>
              <w:pStyle w:val="Compact"/>
              <w:jc w:val="left"/>
            </w:pPr>
            <w:r>
              <w:rPr>
                <w:b/>
                <w:bCs/>
              </w:rPr>
              <w:t xml:space="preserve">3.27%</w:t>
            </w:r>
          </w:p>
        </w:tc>
        <w:tc>
          <w:tcPr/>
          <w:p>
            <w:pPr>
              <w:pStyle w:val="Compact"/>
              <w:jc w:val="left"/>
            </w:pPr>
            <w:r>
              <w:rPr>
                <w:b/>
                <w:bCs/>
              </w:rPr>
              <w:t xml:space="preserve">Promoted</w:t>
            </w:r>
          </w:p>
        </w:tc>
      </w:tr>
    </w:tbl>
    <w:p>
      <w:r>
        <w:br w:type="page"/>
      </w:r>
    </w:p>
    <w:bookmarkEnd w:id="60"/>
    <w:bookmarkStart w:id="64" w:name="X9aad413eb8fc605f7131901e165a3596862de26"/>
    <w:p>
      <w:pPr>
        <w:pStyle w:val="Heading3"/>
      </w:pPr>
      <w:r>
        <w:t xml:space="preserve">8.4 Out-of-Sample Comparative Performance Across Models</w:t>
      </w:r>
    </w:p>
    <w:p>
      <w:pPr>
        <w:pStyle w:val="FirstParagraph"/>
      </w:pPr>
      <w:r>
        <w:t xml:space="preserve">The tuned champion XGBoost was benchmarked against all competing modeling families on the 12-week holdout test set (August 10 – October 26, 2012):</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Model Architecture</w:t>
            </w:r>
          </w:p>
        </w:tc>
        <w:tc>
          <w:tcPr/>
          <w:p>
            <w:pPr>
              <w:pStyle w:val="Compact"/>
              <w:jc w:val="left"/>
            </w:pPr>
            <w:r>
              <w:t xml:space="preserve">Evaluation Scope</w:t>
            </w:r>
          </w:p>
        </w:tc>
        <w:tc>
          <w:tcPr/>
          <w:p>
            <w:pPr>
              <w:pStyle w:val="Compact"/>
              <w:jc w:val="left"/>
            </w:pPr>
            <w:r>
              <w:t xml:space="preserve">Test RMSE ($)</w:t>
            </w:r>
          </w:p>
        </w:tc>
        <w:tc>
          <w:tcPr/>
          <w:p>
            <w:pPr>
              <w:pStyle w:val="Compact"/>
              <w:jc w:val="left"/>
            </w:pPr>
            <w:r>
              <w:t xml:space="preserve">Test MAE ($)</w:t>
            </w:r>
          </w:p>
        </w:tc>
        <w:tc>
          <w:tcPr/>
          <w:p>
            <w:pPr>
              <w:pStyle w:val="Compact"/>
              <w:jc w:val="left"/>
            </w:pPr>
            <w:r>
              <w:t xml:space="preserve">Test MAPE (%)</w:t>
            </w:r>
          </w:p>
        </w:tc>
        <w:tc>
          <w:tcPr/>
          <w:p>
            <w:pPr>
              <w:pStyle w:val="Compact"/>
              <w:jc w:val="left"/>
            </w:pPr>
            <w:r>
              <w:t xml:space="preserve">Test WAPE (%)</w:t>
            </w:r>
          </w:p>
        </w:tc>
      </w:tr>
      <w:tr>
        <w:tc>
          <w:tcPr/>
          <w:p>
            <w:pPr>
              <w:pStyle w:val="Compact"/>
              <w:jc w:val="left"/>
            </w:pPr>
            <w:r>
              <w:rPr>
                <w:b/>
                <w:bCs/>
              </w:rPr>
              <w:t xml:space="preserve">Naive Baseline (Lag 1)</w:t>
            </w:r>
          </w:p>
        </w:tc>
        <w:tc>
          <w:tcPr/>
          <w:p>
            <w:pPr>
              <w:pStyle w:val="Compact"/>
              <w:jc w:val="left"/>
            </w:pPr>
            <w:r>
              <w:t xml:space="preserve">All 45 Stores</w:t>
            </w:r>
          </w:p>
        </w:tc>
        <w:tc>
          <w:tcPr/>
          <w:p>
            <w:pPr>
              <w:pStyle w:val="Compact"/>
              <w:jc w:val="left"/>
            </w:pPr>
            <w:r>
              <w:t xml:space="preserve">$72,442.05</w:t>
            </w:r>
          </w:p>
        </w:tc>
        <w:tc>
          <w:tcPr/>
          <w:p>
            <w:pPr>
              <w:pStyle w:val="Compact"/>
              <w:jc w:val="left"/>
            </w:pPr>
            <w:r>
              <w:t xml:space="preserve">$46,965.55</w:t>
            </w:r>
          </w:p>
        </w:tc>
        <w:tc>
          <w:tcPr/>
          <w:p>
            <w:pPr>
              <w:pStyle w:val="Compact"/>
              <w:jc w:val="left"/>
            </w:pPr>
            <w:r>
              <w:t xml:space="preserve">4.71%</w:t>
            </w:r>
          </w:p>
        </w:tc>
        <w:tc>
          <w:tcPr/>
          <w:p>
            <w:pPr>
              <w:pStyle w:val="Compact"/>
              <w:jc w:val="left"/>
            </w:pPr>
            <w:r>
              <w:t xml:space="preserve">4.57%</w:t>
            </w:r>
          </w:p>
        </w:tc>
      </w:tr>
      <w:tr>
        <w:tc>
          <w:tcPr/>
          <w:p>
            <w:pPr>
              <w:pStyle w:val="Compact"/>
              <w:jc w:val="left"/>
            </w:pPr>
            <w:r>
              <w:rPr>
                <w:b/>
                <w:bCs/>
              </w:rPr>
              <w:t xml:space="preserve">Random Forest Regressor</w:t>
            </w:r>
          </w:p>
        </w:tc>
        <w:tc>
          <w:tcPr/>
          <w:p>
            <w:pPr>
              <w:pStyle w:val="Compact"/>
              <w:jc w:val="left"/>
            </w:pPr>
            <w:r>
              <w:t xml:space="preserve">All 45 Stores</w:t>
            </w:r>
          </w:p>
        </w:tc>
        <w:tc>
          <w:tcPr/>
          <w:p>
            <w:pPr>
              <w:pStyle w:val="Compact"/>
              <w:jc w:val="left"/>
            </w:pPr>
            <w:r>
              <w:t xml:space="preserve">$56,656.71</w:t>
            </w:r>
          </w:p>
        </w:tc>
        <w:tc>
          <w:tcPr/>
          <w:p>
            <w:pPr>
              <w:pStyle w:val="Compact"/>
              <w:jc w:val="left"/>
            </w:pPr>
            <w:r>
              <w:t xml:space="preserve">$38,418.35</w:t>
            </w:r>
          </w:p>
        </w:tc>
        <w:tc>
          <w:tcPr/>
          <w:p>
            <w:pPr>
              <w:pStyle w:val="Compact"/>
              <w:jc w:val="left"/>
            </w:pPr>
            <w:r>
              <w:t xml:space="preserve">3.78%</w:t>
            </w:r>
          </w:p>
        </w:tc>
        <w:tc>
          <w:tcPr/>
          <w:p>
            <w:pPr>
              <w:pStyle w:val="Compact"/>
              <w:jc w:val="left"/>
            </w:pPr>
            <w:r>
              <w:t xml:space="preserve">3.74%</w:t>
            </w:r>
          </w:p>
        </w:tc>
      </w:tr>
      <w:tr>
        <w:tc>
          <w:tcPr/>
          <w:p>
            <w:pPr>
              <w:pStyle w:val="Compact"/>
              <w:jc w:val="left"/>
            </w:pPr>
            <w:r>
              <w:rPr>
                <w:b/>
                <w:bCs/>
              </w:rPr>
              <w:t xml:space="preserve">Tuned Champion XGBoost</w:t>
            </w:r>
          </w:p>
        </w:tc>
        <w:tc>
          <w:tcPr/>
          <w:p>
            <w:pPr>
              <w:pStyle w:val="Compact"/>
              <w:jc w:val="left"/>
            </w:pPr>
            <w:r>
              <w:rPr>
                <w:b/>
                <w:bCs/>
              </w:rPr>
              <w:t xml:space="preserve">All 45 Stores</w:t>
            </w:r>
          </w:p>
        </w:tc>
        <w:tc>
          <w:tcPr/>
          <w:p>
            <w:pPr>
              <w:pStyle w:val="Compact"/>
              <w:jc w:val="left"/>
            </w:pPr>
            <w:r>
              <w:rPr>
                <w:b/>
                <w:bCs/>
              </w:rPr>
              <w:t xml:space="preserve">$49,140.51</w:t>
            </w:r>
          </w:p>
        </w:tc>
        <w:tc>
          <w:tcPr/>
          <w:p>
            <w:pPr>
              <w:pStyle w:val="Compact"/>
              <w:jc w:val="left"/>
            </w:pPr>
            <w:r>
              <w:rPr>
                <w:b/>
                <w:bCs/>
              </w:rPr>
              <w:t xml:space="preserve">$33,619.68</w:t>
            </w:r>
          </w:p>
        </w:tc>
        <w:tc>
          <w:tcPr/>
          <w:p>
            <w:pPr>
              <w:pStyle w:val="Compact"/>
              <w:jc w:val="left"/>
            </w:pPr>
            <w:r>
              <w:rPr>
                <w:b/>
                <w:bCs/>
              </w:rPr>
              <w:t xml:space="preserve">3.40%</w:t>
            </w:r>
          </w:p>
        </w:tc>
        <w:tc>
          <w:tcPr/>
          <w:p>
            <w:pPr>
              <w:pStyle w:val="Compact"/>
              <w:jc w:val="left"/>
            </w:pPr>
            <w:r>
              <w:rPr>
                <w:b/>
                <w:bCs/>
              </w:rPr>
              <w:t xml:space="preserve">3.27%</w:t>
            </w:r>
          </w:p>
        </w:tc>
      </w:tr>
      <w:tr>
        <w:tc>
          <w:tcPr/>
          <w:p>
            <w:pPr>
              <w:pStyle w:val="Compact"/>
              <w:jc w:val="left"/>
            </w:pPr>
            <w:r>
              <w:rPr>
                <w:b/>
                <w:bCs/>
              </w:rPr>
              <w:t xml:space="preserve">Facebook Prophet</w:t>
            </w:r>
          </w:p>
        </w:tc>
        <w:tc>
          <w:tcPr/>
          <w:p>
            <w:pPr>
              <w:pStyle w:val="Compact"/>
              <w:jc w:val="left"/>
            </w:pPr>
            <w:r>
              <w:t xml:space="preserve">Sample Tiers (20, 1, 33)</w:t>
            </w:r>
          </w:p>
        </w:tc>
        <w:tc>
          <w:tcPr/>
          <w:p>
            <w:pPr>
              <w:pStyle w:val="Compact"/>
              <w:jc w:val="left"/>
            </w:pPr>
            <w:r>
              <w:t xml:space="preserve">$86,284.53</w:t>
            </w:r>
          </w:p>
        </w:tc>
        <w:tc>
          <w:tcPr/>
          <w:p>
            <w:pPr>
              <w:pStyle w:val="Compact"/>
              <w:jc w:val="left"/>
            </w:pPr>
            <w:r>
              <w:t xml:space="preserve">$66,089.59</w:t>
            </w:r>
          </w:p>
        </w:tc>
        <w:tc>
          <w:tcPr/>
          <w:p>
            <w:pPr>
              <w:pStyle w:val="Compact"/>
              <w:jc w:val="left"/>
            </w:pPr>
            <w:r>
              <w:t xml:space="preserve">5.36%</w:t>
            </w:r>
          </w:p>
        </w:tc>
        <w:tc>
          <w:tcPr/>
          <w:p>
            <w:pPr>
              <w:pStyle w:val="Compact"/>
              <w:jc w:val="left"/>
            </w:pPr>
            <w:r>
              <w:t xml:space="preserve">5.10%</w:t>
            </w:r>
          </w:p>
        </w:tc>
      </w:tr>
      <w:tr>
        <w:tc>
          <w:tcPr/>
          <w:p>
            <w:pPr>
              <w:pStyle w:val="Compact"/>
              <w:jc w:val="left"/>
            </w:pPr>
            <w:r>
              <w:rPr>
                <w:b/>
                <w:bCs/>
              </w:rPr>
              <w:t xml:space="preserve">Statistical SARIMAX</w:t>
            </w:r>
          </w:p>
        </w:tc>
        <w:tc>
          <w:tcPr/>
          <w:p>
            <w:pPr>
              <w:pStyle w:val="Compact"/>
              <w:jc w:val="left"/>
            </w:pPr>
            <w:r>
              <w:t xml:space="preserve">Sample Tiers (20, 1, 33)</w:t>
            </w:r>
          </w:p>
        </w:tc>
        <w:tc>
          <w:tcPr/>
          <w:p>
            <w:pPr>
              <w:pStyle w:val="Compact"/>
              <w:jc w:val="left"/>
            </w:pPr>
            <w:r>
              <w:t xml:space="preserve">$104,025.64</w:t>
            </w:r>
          </w:p>
        </w:tc>
        <w:tc>
          <w:tcPr/>
          <w:p>
            <w:pPr>
              <w:pStyle w:val="Compact"/>
              <w:jc w:val="left"/>
            </w:pPr>
            <w:r>
              <w:t xml:space="preserve">$73,133.91</w:t>
            </w:r>
          </w:p>
        </w:tc>
        <w:tc>
          <w:tcPr/>
          <w:p>
            <w:pPr>
              <w:pStyle w:val="Compact"/>
              <w:jc w:val="left"/>
            </w:pPr>
            <w:r>
              <w:t xml:space="preserve">5.94%</w:t>
            </w:r>
          </w:p>
        </w:tc>
        <w:tc>
          <w:tcPr/>
          <w:p>
            <w:pPr>
              <w:pStyle w:val="Compact"/>
              <w:jc w:val="left"/>
            </w:pPr>
            <w:r>
              <w:t xml:space="preserve">5.64%</w:t>
            </w:r>
          </w:p>
        </w:tc>
      </w:tr>
      <w:tr>
        <w:tc>
          <w:tcPr/>
          <w:p>
            <w:pPr>
              <w:pStyle w:val="Compact"/>
              <w:jc w:val="left"/>
            </w:pPr>
            <w:r>
              <w:rPr>
                <w:b/>
                <w:bCs/>
              </w:rPr>
              <w:t xml:space="preserve">Tuned XGBoost</w:t>
            </w:r>
          </w:p>
        </w:tc>
        <w:tc>
          <w:tcPr/>
          <w:p>
            <w:pPr>
              <w:pStyle w:val="Compact"/>
              <w:jc w:val="left"/>
            </w:pPr>
            <w:r>
              <w:rPr>
                <w:b/>
                <w:bCs/>
              </w:rPr>
              <w:t xml:space="preserve">Sample Tiers (20, 1, 33)</w:t>
            </w:r>
          </w:p>
        </w:tc>
        <w:tc>
          <w:tcPr/>
          <w:p>
            <w:pPr>
              <w:pStyle w:val="Compact"/>
              <w:jc w:val="left"/>
            </w:pPr>
            <w:r>
              <w:rPr>
                <w:b/>
                <w:bCs/>
              </w:rPr>
              <w:t xml:space="preserve">$51,860.80</w:t>
            </w:r>
          </w:p>
        </w:tc>
        <w:tc>
          <w:tcPr/>
          <w:p>
            <w:pPr>
              <w:pStyle w:val="Compact"/>
              <w:jc w:val="left"/>
            </w:pPr>
            <w:r>
              <w:rPr>
                <w:b/>
                <w:bCs/>
              </w:rPr>
              <w:t xml:space="preserve">$39,052.79</w:t>
            </w:r>
          </w:p>
        </w:tc>
        <w:tc>
          <w:tcPr/>
          <w:p>
            <w:pPr>
              <w:pStyle w:val="Compact"/>
              <w:jc w:val="left"/>
            </w:pPr>
            <w:r>
              <w:rPr>
                <w:b/>
                <w:bCs/>
              </w:rPr>
              <w:t xml:space="preserve">3.44%</w:t>
            </w:r>
          </w:p>
        </w:tc>
        <w:tc>
          <w:tcPr/>
          <w:p>
            <w:pPr>
              <w:pStyle w:val="Compact"/>
              <w:jc w:val="left"/>
            </w:pPr>
            <w:r>
              <w:rPr>
                <w:b/>
                <w:bCs/>
              </w:rPr>
              <w:t xml:space="preserve">3.01%</w:t>
            </w:r>
          </w:p>
        </w:tc>
      </w:tr>
    </w:tbl>
    <w:p>
      <w:pPr>
        <w:pStyle w:val="CaptionedFigure"/>
      </w:pPr>
      <w:r>
        <w:drawing>
          <wp:inline>
            <wp:extent cx="3733800" cy="1548937"/>
            <wp:effectExtent b="0" l="0" r="0" t="0"/>
            <wp:docPr descr="Forecast Error Comparison (WAPE %) on 12-Week Out-of-Sample Test" title="" id="62" name="Picture"/>
            <a:graphic>
              <a:graphicData uri="http://schemas.openxmlformats.org/drawingml/2006/picture">
                <pic:pic>
                  <pic:nvPicPr>
                    <pic:cNvPr descr="../plots/06_model_error_comparison_barchart.png" id="63" name="Picture"/>
                    <pic:cNvPicPr>
                      <a:picLocks noChangeArrowheads="1" noChangeAspect="1"/>
                    </pic:cNvPicPr>
                  </pic:nvPicPr>
                  <pic:blipFill>
                    <a:blip r:embed="rId61"/>
                    <a:stretch>
                      <a:fillRect/>
                    </a:stretch>
                  </pic:blipFill>
                  <pic:spPr bwMode="auto">
                    <a:xfrm>
                      <a:off x="0" y="0"/>
                      <a:ext cx="3733800" cy="1548937"/>
                    </a:xfrm>
                    <a:prstGeom prst="rect">
                      <a:avLst/>
                    </a:prstGeom>
                    <a:noFill/>
                    <a:ln w="9525">
                      <a:noFill/>
                      <a:headEnd/>
                      <a:tailEnd/>
                    </a:ln>
                  </pic:spPr>
                </pic:pic>
              </a:graphicData>
            </a:graphic>
          </wp:inline>
        </w:drawing>
      </w:r>
    </w:p>
    <w:p>
      <w:pPr>
        <w:pStyle w:val="ImageCaption"/>
      </w:pPr>
      <w:r>
        <w:t xml:space="preserve">Forecast Error Comparison (WAPE %) on 12-Week Out-of-Sample Test</w:t>
      </w:r>
    </w:p>
    <w:p>
      <w:pPr>
        <w:pStyle w:val="BodyText"/>
      </w:pPr>
      <w:r>
        <w:rPr>
          <w:b/>
          <w:bCs/>
        </w:rPr>
        <w:t xml:space="preserve">Empirical Result</w:t>
      </w:r>
      <w:r>
        <w:t xml:space="preserve">: Tuned XGBoost achieves the lowest error across every metric, reducing out-of-sample WAPE from</w:t>
      </w:r>
      <w:r>
        <w:t xml:space="preserve"> </w:t>
      </w:r>
      <w:r>
        <w:rPr>
          <w:b/>
          <w:bCs/>
        </w:rPr>
        <w:t xml:space="preserve">4.57% down to 3.27%</w:t>
      </w:r>
      <w:r>
        <w:t xml:space="preserve">—an overall</w:t>
      </w:r>
      <w:r>
        <w:t xml:space="preserve"> </w:t>
      </w:r>
      <w:r>
        <w:rPr>
          <w:b/>
          <w:bCs/>
        </w:rPr>
        <w:t xml:space="preserve">28.4% reduction in total forecast dollar error</w:t>
      </w:r>
      <w:r>
        <w:t xml:space="preserve"> </w:t>
      </w:r>
      <w:r>
        <w:t xml:space="preserve">over naive persistence.</w:t>
      </w:r>
    </w:p>
    <w:p>
      <w:r>
        <w:br w:type="page"/>
      </w:r>
    </w:p>
    <w:bookmarkEnd w:id="64"/>
    <w:bookmarkEnd w:id="65"/>
    <w:bookmarkStart w:id="76" w:name="inferences-from-the-same"/>
    <w:p>
      <w:pPr>
        <w:pStyle w:val="Heading1"/>
      </w:pPr>
      <w:r>
        <w:t xml:space="preserve">9. Inferences from the Same</w:t>
      </w:r>
    </w:p>
    <w:bookmarkStart w:id="69" w:name="empirical-performance-takeaways"/>
    <w:p>
      <w:pPr>
        <w:pStyle w:val="Heading3"/>
      </w:pPr>
      <w:r>
        <w:t xml:space="preserve">9.1 Empirical Performance Takeaways</w:t>
      </w:r>
    </w:p>
    <w:p>
      <w:pPr>
        <w:pStyle w:val="FirstParagraph"/>
      </w:pPr>
      <w:r>
        <w:t xml:space="preserve">Analysis of predicted versus actual sales trajectories demonstrates that the tuned XGBoost model captures localized store demand across all volume tiers with high fidelity:</w:t>
      </w:r>
    </w:p>
    <w:p>
      <w:pPr>
        <w:pStyle w:val="CaptionedFigure"/>
      </w:pPr>
      <w:r>
        <w:drawing>
          <wp:inline>
            <wp:extent cx="4267200" cy="3346280"/>
            <wp:effectExtent b="0" l="0" r="0" t="0"/>
            <wp:docPr descr="Predicted vs. Actual Weekly Sales Trajectories Across Store Tiers" title="" id="67" name="Picture"/>
            <a:graphic>
              <a:graphicData uri="http://schemas.openxmlformats.org/drawingml/2006/picture">
                <pic:pic>
                  <pic:nvPicPr>
                    <pic:cNvPr descr="../plots/07_predicted_vs_actual_12week_test.png" id="68" name="Picture"/>
                    <pic:cNvPicPr>
                      <a:picLocks noChangeArrowheads="1" noChangeAspect="1"/>
                    </pic:cNvPicPr>
                  </pic:nvPicPr>
                  <pic:blipFill>
                    <a:blip r:embed="rId66"/>
                    <a:stretch>
                      <a:fillRect/>
                    </a:stretch>
                  </pic:blipFill>
                  <pic:spPr bwMode="auto">
                    <a:xfrm>
                      <a:off x="0" y="0"/>
                      <a:ext cx="4267200" cy="3346280"/>
                    </a:xfrm>
                    <a:prstGeom prst="rect">
                      <a:avLst/>
                    </a:prstGeom>
                    <a:noFill/>
                    <a:ln w="9525">
                      <a:noFill/>
                      <a:headEnd/>
                      <a:tailEnd/>
                    </a:ln>
                  </pic:spPr>
                </pic:pic>
              </a:graphicData>
            </a:graphic>
          </wp:inline>
        </w:drawing>
      </w:r>
    </w:p>
    <w:p>
      <w:pPr>
        <w:pStyle w:val="ImageCaption"/>
      </w:pPr>
      <w:r>
        <w:t xml:space="preserve">Predicted vs. Actual Weekly Sales Trajectories Across Store Tiers</w:t>
      </w:r>
    </w:p>
    <w:p>
      <w:pPr>
        <w:pStyle w:val="Compact"/>
        <w:numPr>
          <w:ilvl w:val="0"/>
          <w:numId w:val="1008"/>
        </w:numPr>
      </w:pPr>
      <w:r>
        <w:rPr>
          <w:b/>
          <w:bCs/>
        </w:rPr>
        <w:t xml:space="preserve">Tier 1 (Store 20, High Volume ~$2.1M)</w:t>
      </w:r>
      <w:r>
        <w:t xml:space="preserve">: Forecasted values track actual demand swings with sub-3.1% error, successfully mirroring late-August promotional spikes.</w:t>
      </w:r>
    </w:p>
    <w:p>
      <w:pPr>
        <w:pStyle w:val="Compact"/>
        <w:numPr>
          <w:ilvl w:val="0"/>
          <w:numId w:val="1008"/>
        </w:numPr>
      </w:pPr>
      <w:r>
        <w:rPr>
          <w:b/>
          <w:bCs/>
        </w:rPr>
        <w:t xml:space="preserve">Tier 2 (Store 1, Median Volume ~$1.5M)</w:t>
      </w:r>
      <w:r>
        <w:t xml:space="preserve">: Tightly tracks baseline sales with minimal variance.</w:t>
      </w:r>
    </w:p>
    <w:p>
      <w:pPr>
        <w:pStyle w:val="Compact"/>
        <w:numPr>
          <w:ilvl w:val="0"/>
          <w:numId w:val="1008"/>
        </w:numPr>
      </w:pPr>
      <w:r>
        <w:rPr>
          <w:b/>
          <w:bCs/>
        </w:rPr>
        <w:t xml:space="preserve">Tier 3 (Store 33, Low Volume ~$260K)</w:t>
      </w:r>
      <w:r>
        <w:t xml:space="preserve">: Accurately projects stable, low-volume demand without upward bias.</w:t>
      </w:r>
    </w:p>
    <w:bookmarkEnd w:id="69"/>
    <w:bookmarkStart w:id="70" w:name="X0bbd08e93d5f5755f7ad4a9bd3c12fc2ba912bc"/>
    <w:p>
      <w:pPr>
        <w:pStyle w:val="Heading3"/>
      </w:pPr>
      <w:r>
        <w:t xml:space="preserve">9.2 Holiday Multiplier &amp; Seasonal Peak Insights</w:t>
      </w:r>
    </w:p>
    <w:p>
      <w:pPr>
        <w:pStyle w:val="Compact"/>
        <w:numPr>
          <w:ilvl w:val="0"/>
          <w:numId w:val="1009"/>
        </w:numPr>
      </w:pPr>
      <w:r>
        <w:rPr>
          <w:b/>
          <w:bCs/>
        </w:rPr>
        <w:t xml:space="preserve">Thanksgiving Surge</w:t>
      </w:r>
      <w:r>
        <w:t xml:space="preserve">: Generates a</w:t>
      </w:r>
      <w:r>
        <w:t xml:space="preserve"> </w:t>
      </w:r>
      <w:r>
        <w:rPr>
          <w:b/>
          <w:bCs/>
        </w:rPr>
        <w:t xml:space="preserve">+41.3%</w:t>
      </w:r>
      <w:r>
        <w:t xml:space="preserve"> </w:t>
      </w:r>
      <w:r>
        <w:t xml:space="preserve">national volume uplift over regular weeks. In Tier 1 stores, weekly demand surges by over</w:t>
      </w:r>
      <w:r>
        <w:t xml:space="preserve"> </w:t>
      </w:r>
      <w:r>
        <w:rPr>
          <w:b/>
          <w:bCs/>
        </w:rPr>
        <w:t xml:space="preserve">$900,000</w:t>
      </w:r>
      <w:r>
        <w:t xml:space="preserve"> </w:t>
      </w:r>
      <w:r>
        <w:t xml:space="preserve">in a single 7-day period.</w:t>
      </w:r>
    </w:p>
    <w:p>
      <w:pPr>
        <w:pStyle w:val="Compact"/>
        <w:numPr>
          <w:ilvl w:val="0"/>
          <w:numId w:val="1009"/>
        </w:numPr>
      </w:pPr>
      <w:r>
        <w:rPr>
          <w:b/>
          <w:bCs/>
        </w:rPr>
        <w:t xml:space="preserve">Pre-Christmas Peak (Week 51)</w:t>
      </w:r>
      <w:r>
        <w:t xml:space="preserve">: While official Christmas week experiences a post-holiday lull (-7.7%), the penultimate week of December represents the single largest revenue event of the fiscal year, expanding national volume by</w:t>
      </w:r>
      <w:r>
        <w:t xml:space="preserve"> </w:t>
      </w:r>
      <w:r>
        <w:rPr>
          <w:b/>
          <w:bCs/>
        </w:rPr>
        <w:t xml:space="preserve">+55% to +70%</w:t>
      </w:r>
      <w:r>
        <w:t xml:space="preserve"> </w:t>
      </w:r>
      <w:r>
        <w:t xml:space="preserve">(reaching $80.9M nationally in 2010 and $77.0M in 2011).</w:t>
      </w:r>
    </w:p>
    <w:p>
      <w:r>
        <w:br w:type="page"/>
      </w:r>
    </w:p>
    <w:bookmarkEnd w:id="70"/>
    <w:bookmarkStart w:id="71" w:name="X43455c67395b42b673d96e48cc4125e301c3728"/>
    <w:p>
      <w:pPr>
        <w:pStyle w:val="Heading3"/>
      </w:pPr>
      <w:r>
        <w:t xml:space="preserve">9.3 Store-Level Inventory Optimization &amp; Safety Stock Formulations</w:t>
      </w:r>
    </w:p>
    <w:p>
      <w:pPr>
        <w:pStyle w:val="FirstParagraph"/>
      </w:pPr>
      <w:r>
        <w:t xml:space="preserve">To operationalize these insights, we establish mathematical inventory replenishment guidelines:</w:t>
      </w:r>
    </w:p>
    <w:p>
      <w:pPr>
        <w:pStyle w:val="BodyText"/>
      </w:pPr>
      <m:oMathPara>
        <m:oMathParaPr>
          <m:jc m:val="center"/>
        </m:oMathParaPr>
        <m:oMath>
          <m:r>
            <m:rPr>
              <m:nor/>
              <m:sty m:val="p"/>
            </m:rPr>
            <m:t>Safety Stock</m:t>
          </m:r>
          <m:r>
            <m:rPr>
              <m:sty m:val="p"/>
            </m:rPr>
            <m:t>=</m:t>
          </m:r>
          <m:sSub>
            <m:e>
              <m:r>
                <m:t>Z</m:t>
              </m:r>
            </m:e>
            <m:sub>
              <m:r>
                <m:t>α</m:t>
              </m:r>
            </m:sub>
          </m:sSub>
          <m:r>
            <m:rPr>
              <m:sty m:val="p"/>
            </m:rPr>
            <m:t>×</m:t>
          </m:r>
          <m:sSub>
            <m:e>
              <m:r>
                <m:rPr>
                  <m:nor/>
                  <m:sty m:val="p"/>
                </m:rPr>
                <m:t>RMSE</m:t>
              </m:r>
            </m:e>
            <m:sub>
              <m:r>
                <m:rPr>
                  <m:nor/>
                  <m:sty m:val="p"/>
                </m:rPr>
                <m:t>store</m:t>
              </m:r>
            </m:sub>
          </m:sSub>
          <m:r>
            <m:rPr>
              <m:sty m:val="p"/>
            </m:rPr>
            <m:t>×</m:t>
          </m:r>
          <m:rad>
            <m:radPr>
              <m:degHide m:val="on"/>
            </m:radPr>
            <m:deg/>
            <m:e>
              <m:r>
                <m:t>L</m:t>
              </m:r>
            </m:e>
          </m:rad>
          <m:r>
            <m:rPr>
              <m:sty m:val="p"/>
            </m:rPr>
            <m:t>,</m:t>
          </m:r>
          <m:r>
            <m:t> </m:t>
          </m:r>
          <m:r>
            <m:rPr>
              <m:nor/>
              <m:sty m:val="p"/>
            </m:rPr>
            <m:t>Reorder Point (ROP)</m:t>
          </m:r>
          <m:r>
            <m:rPr>
              <m:sty m:val="p"/>
            </m:rPr>
            <m:t>=</m:t>
          </m:r>
          <m:sSub>
            <m:e>
              <m:r>
                <m:t>μ</m:t>
              </m:r>
            </m:e>
            <m:sub>
              <m:r>
                <m:rPr>
                  <m:nor/>
                  <m:sty m:val="p"/>
                </m:rPr>
                <m:t>demand</m:t>
              </m:r>
            </m:sub>
          </m:sSub>
          <m:r>
            <m:rPr>
              <m:sty m:val="p"/>
            </m:rPr>
            <m:t>×</m:t>
          </m:r>
          <m:r>
            <m:t>L</m:t>
          </m:r>
          <m:r>
            <m:rPr>
              <m:sty m:val="p"/>
            </m:rPr>
            <m:t>+</m:t>
          </m:r>
          <m:r>
            <m:rPr>
              <m:nor/>
              <m:sty m:val="p"/>
            </m:rPr>
            <m:t>Safety Stock</m:t>
          </m:r>
        </m:oMath>
      </m:oMathPara>
    </w:p>
    <w:p>
      <w:pPr>
        <w:pStyle w:val="FirstParagraph"/>
      </w:pPr>
      <w:r>
        <w:t xml:space="preserve">Assuming a replenishment lead time of</w:t>
      </w:r>
      <w:r>
        <w:t xml:space="preserve"> </w:t>
      </w:r>
      <m:oMath>
        <m:r>
          <m:t>L</m:t>
        </m:r>
        <m:r>
          <m:rPr>
            <m:sty m:val="p"/>
          </m:rPr>
          <m:t>=</m:t>
        </m:r>
        <m:r>
          <m:t>2</m:t>
        </m:r>
      </m:oMath>
      <w:r>
        <w:t xml:space="preserve"> </w:t>
      </w:r>
      <w:r>
        <w:t xml:space="preserve">weeks and a</w:t>
      </w:r>
      <w:r>
        <w:t xml:space="preserve"> </w:t>
      </w:r>
      <w:r>
        <w:rPr>
          <w:b/>
          <w:bCs/>
        </w:rPr>
        <w:t xml:space="preserve">95% service level</w:t>
      </w:r>
      <w:r>
        <w:t xml:space="preserve"> </w:t>
      </w:r>
      <w:r>
        <w:t xml:space="preserve">(</w:t>
      </w:r>
      <m:oMath>
        <m:sSub>
          <m:e>
            <m:r>
              <m:t>Z</m:t>
            </m:r>
          </m:e>
          <m:sub>
            <m:r>
              <m:t>0.95</m:t>
            </m:r>
          </m:sub>
        </m:sSub>
        <m:r>
          <m:rPr>
            <m:sty m:val="p"/>
          </m:rPr>
          <m:t>=</m:t>
        </m:r>
        <m:r>
          <m:t>1.645</m:t>
        </m:r>
      </m:oMath>
      <w:r>
        <w:t xml:space="preserve">):</w:t>
      </w:r>
      <w:r>
        <w:t xml:space="preserve"> </w:t>
      </w:r>
      <w:r>
        <w:t xml:space="preserve">-</w:t>
      </w:r>
      <w:r>
        <w:t xml:space="preserve"> </w:t>
      </w:r>
      <w:r>
        <w:rPr>
          <w:b/>
          <w:bCs/>
        </w:rPr>
        <w:t xml:space="preserve">Tier 1 Stores (e.g. Store 20, Store 14)</w:t>
      </w:r>
      <w:r>
        <w:t xml:space="preserve">: Model RMSE</w:t>
      </w:r>
      <w:r>
        <w:t xml:space="preserve"> </w:t>
      </w:r>
      <m:oMath>
        <m:r>
          <m:rPr>
            <m:sty m:val="p"/>
          </m:rPr>
          <m:t>≈</m:t>
        </m:r>
        <m:r>
          <m:rPr>
            <m:sty m:val="p"/>
          </m:rPr>
          <m:t>$</m:t>
        </m:r>
        <m:r>
          <m:t>55</m:t>
        </m:r>
        <m:r>
          <m:rPr>
            <m:sty m:val="p"/>
          </m:rPr>
          <m:t>,</m:t>
        </m:r>
        <m:r>
          <m:t>000</m:t>
        </m:r>
      </m:oMath>
      <w:r>
        <w:t xml:space="preserve">. Recommended safety stock buffer is</w:t>
      </w:r>
      <w:r>
        <w:t xml:space="preserve"> </w:t>
      </w:r>
      <w:r>
        <w:rPr>
          <w:b/>
          <w:bCs/>
        </w:rPr>
        <w:t xml:space="preserve">$127,900</w:t>
      </w:r>
      <w:r>
        <w:t xml:space="preserve"> </w:t>
      </w:r>
      <w:r>
        <w:t xml:space="preserve">during regular periods, expanding to</w:t>
      </w:r>
      <w:r>
        <w:t xml:space="preserve"> </w:t>
      </w:r>
      <w:r>
        <w:rPr>
          <w:b/>
          <w:bCs/>
        </w:rPr>
        <w:t xml:space="preserve">$450,000–$600,000</w:t>
      </w:r>
      <w:r>
        <w:t xml:space="preserve"> </w:t>
      </w:r>
      <w:r>
        <w:t xml:space="preserve">during Q4 to accommodate double-digit surge volatility.</w:t>
      </w:r>
      <w:r>
        <w:t xml:space="preserve"> </w:t>
      </w:r>
      <w:r>
        <w:t xml:space="preserve">-</w:t>
      </w:r>
      <w:r>
        <w:t xml:space="preserve"> </w:t>
      </w:r>
      <w:r>
        <w:rPr>
          <w:b/>
          <w:bCs/>
        </w:rPr>
        <w:t xml:space="preserve">Tier 3 Stores (e.g. Store 33, Store 44)</w:t>
      </w:r>
      <w:r>
        <w:t xml:space="preserve">: Demand is stable and predictable (RMSE</w:t>
      </w:r>
      <w:r>
        <w:t xml:space="preserve"> </w:t>
      </w:r>
      <m:oMath>
        <m:r>
          <m:rPr>
            <m:sty m:val="p"/>
          </m:rPr>
          <m:t>≈</m:t>
        </m:r>
        <m:r>
          <m:rPr>
            <m:sty m:val="p"/>
          </m:rPr>
          <m:t>$</m:t>
        </m:r>
        <m:r>
          <m:t>18</m:t>
        </m:r>
        <m:r>
          <m:rPr>
            <m:sty m:val="p"/>
          </m:rPr>
          <m:t>,</m:t>
        </m:r>
        <m:r>
          <m:t>000</m:t>
        </m:r>
      </m:oMath>
      <w:r>
        <w:t xml:space="preserve">). Recommended safety buffer is</w:t>
      </w:r>
      <w:r>
        <w:t xml:space="preserve"> </w:t>
      </w:r>
      <w:r>
        <w:rPr>
          <w:b/>
          <w:bCs/>
        </w:rPr>
        <w:t xml:space="preserve">$41,800</w:t>
      </w:r>
      <w:r>
        <w:t xml:space="preserve">, enabling lean weekly cross-docking without overstock risk.</w:t>
      </w:r>
    </w:p>
    <w:bookmarkEnd w:id="71"/>
    <w:bookmarkStart w:id="75" w:name="X91d0561e9d34529f2588fe71eb59f27fcc58865"/>
    <w:p>
      <w:pPr>
        <w:pStyle w:val="Heading3"/>
      </w:pPr>
      <w:r>
        <w:t xml:space="preserve">9.4 Forward 12-Week Demand Projections (Nov 2012 – Jan 2013)</w:t>
      </w:r>
    </w:p>
    <w:p>
      <w:pPr>
        <w:pStyle w:val="FirstParagraph"/>
      </w:pPr>
      <w:r>
        <w:t xml:space="preserve">Deploying our champion XGBoost model over weeks 144 through 155 reproduces the upcoming holiday demand cycle:</w:t>
      </w:r>
    </w:p>
    <w:p>
      <w:pPr>
        <w:pStyle w:val="CaptionedFigure"/>
      </w:pPr>
      <w:r>
        <w:drawing>
          <wp:inline>
            <wp:extent cx="4267200" cy="1806536"/>
            <wp:effectExtent b="0" l="0" r="0" t="0"/>
            <wp:docPr descr="Forward 12-Week Sales Demand Forecast Across Store Volume Tiers" title="" id="73" name="Picture"/>
            <a:graphic>
              <a:graphicData uri="http://schemas.openxmlformats.org/drawingml/2006/picture">
                <pic:pic>
                  <pic:nvPicPr>
                    <pic:cNvPr descr="../plots/08_forward_12week_store_forecasts.png" id="74" name="Picture"/>
                    <pic:cNvPicPr>
                      <a:picLocks noChangeArrowheads="1" noChangeAspect="1"/>
                    </pic:cNvPicPr>
                  </pic:nvPicPr>
                  <pic:blipFill>
                    <a:blip r:embed="rId72"/>
                    <a:stretch>
                      <a:fillRect/>
                    </a:stretch>
                  </pic:blipFill>
                  <pic:spPr bwMode="auto">
                    <a:xfrm>
                      <a:off x="0" y="0"/>
                      <a:ext cx="4267200" cy="1806536"/>
                    </a:xfrm>
                    <a:prstGeom prst="rect">
                      <a:avLst/>
                    </a:prstGeom>
                    <a:noFill/>
                    <a:ln w="9525">
                      <a:noFill/>
                      <a:headEnd/>
                      <a:tailEnd/>
                    </a:ln>
                  </pic:spPr>
                </pic:pic>
              </a:graphicData>
            </a:graphic>
          </wp:inline>
        </w:drawing>
      </w:r>
    </w:p>
    <w:p>
      <w:pPr>
        <w:pStyle w:val="ImageCaption"/>
      </w:pPr>
      <w:r>
        <w:t xml:space="preserve">Forward 12-Week Sales Demand Forecast Across Store Volume Tiers</w:t>
      </w:r>
    </w:p>
    <w:p>
      <w:pPr>
        <w:pStyle w:val="Compact"/>
        <w:numPr>
          <w:ilvl w:val="0"/>
          <w:numId w:val="1010"/>
        </w:numPr>
      </w:pPr>
      <w:r>
        <w:rPr>
          <w:b/>
          <w:bCs/>
        </w:rPr>
        <w:t xml:space="preserve">Week 47 (Thanksgiving week - Nov 23, 2012)</w:t>
      </w:r>
      <w:r>
        <w:t xml:space="preserve">: Projected national store sales jump by</w:t>
      </w:r>
      <w:r>
        <w:t xml:space="preserve"> </w:t>
      </w:r>
      <w:r>
        <w:rPr>
          <w:b/>
          <w:bCs/>
        </w:rPr>
        <w:t xml:space="preserve">+38% to +45%</w:t>
      </w:r>
      <w:r>
        <w:t xml:space="preserve">.</w:t>
      </w:r>
    </w:p>
    <w:p>
      <w:pPr>
        <w:pStyle w:val="Compact"/>
        <w:numPr>
          <w:ilvl w:val="0"/>
          <w:numId w:val="1010"/>
        </w:numPr>
      </w:pPr>
      <w:r>
        <w:rPr>
          <w:b/>
          <w:bCs/>
        </w:rPr>
        <w:t xml:space="preserve">Week 51 (Pre-Christmas peak - Dec 21, 2012)</w:t>
      </w:r>
      <w:r>
        <w:t xml:space="preserve">: Projected sales expand by</w:t>
      </w:r>
      <w:r>
        <w:t xml:space="preserve"> </w:t>
      </w:r>
      <w:r>
        <w:rPr>
          <w:b/>
          <w:bCs/>
        </w:rPr>
        <w:t xml:space="preserve">+55% to +70%</w:t>
      </w:r>
      <w:r>
        <w:t xml:space="preserve">, peaking at ~$3.1M in Store 20.</w:t>
      </w:r>
    </w:p>
    <w:p>
      <w:pPr>
        <w:pStyle w:val="Compact"/>
        <w:numPr>
          <w:ilvl w:val="0"/>
          <w:numId w:val="1010"/>
        </w:numPr>
      </w:pPr>
      <w:r>
        <w:rPr>
          <w:b/>
          <w:bCs/>
        </w:rPr>
        <w:t xml:space="preserve">January Normalization</w:t>
      </w:r>
      <w:r>
        <w:t xml:space="preserve">: Post-holiday sales contract sharply by up to</w:t>
      </w:r>
      <w:r>
        <w:t xml:space="preserve"> </w:t>
      </w:r>
      <w:r>
        <w:rPr>
          <w:b/>
          <w:bCs/>
        </w:rPr>
        <w:t xml:space="preserve">60%</w:t>
      </w:r>
      <w:r>
        <w:t xml:space="preserve">, reaching normalized baseline levels (~$1.0M/store) by January 11, 2013. Warehouse orders must be aggressively tapered starting</w:t>
      </w:r>
      <w:r>
        <w:t xml:space="preserve"> </w:t>
      </w:r>
      <w:r>
        <w:rPr>
          <w:b/>
          <w:bCs/>
        </w:rPr>
        <w:t xml:space="preserve">December 10</w:t>
      </w:r>
      <w:r>
        <w:t xml:space="preserve"> </w:t>
      </w:r>
      <w:r>
        <w:t xml:space="preserve">to prevent dead-stock accumulation in Q1.</w:t>
      </w:r>
    </w:p>
    <w:p>
      <w:r>
        <w:br w:type="page"/>
      </w:r>
    </w:p>
    <w:bookmarkEnd w:id="75"/>
    <w:bookmarkEnd w:id="76"/>
    <w:bookmarkStart w:id="80" w:name="future-possibilities-of-the-project"/>
    <w:p>
      <w:pPr>
        <w:pStyle w:val="Heading1"/>
      </w:pPr>
      <w:r>
        <w:t xml:space="preserve">10. Future Possibilities of the Project</w:t>
      </w:r>
    </w:p>
    <w:bookmarkStart w:id="77" w:name="X7efb2d62482971186be07b2930a311ef807af3b"/>
    <w:p>
      <w:pPr>
        <w:pStyle w:val="Heading3"/>
      </w:pPr>
      <w:r>
        <w:t xml:space="preserve">10.1 Hierarchical Demand Reconciliation (MinT Architecture)</w:t>
      </w:r>
    </w:p>
    <w:p>
      <w:pPr>
        <w:pStyle w:val="FirstParagraph"/>
      </w:pPr>
      <w:r>
        <w:t xml:space="preserve">While the current architecture forecasts aggregate weekly sales at the store outlet level, enterprise retail systems operate across multiple administrative levels: Stock Keeping Unit (SKU)</w:t>
      </w:r>
      <w:r>
        <w:t xml:space="preserve"> </w:t>
      </w:r>
      <m:oMath>
        <m:r>
          <m:rPr>
            <m:sty m:val="p"/>
          </m:rPr>
          <m:t>→</m:t>
        </m:r>
      </m:oMath>
      <w:r>
        <w:t xml:space="preserve"> </w:t>
      </w:r>
      <w:r>
        <w:t xml:space="preserve">Department (e.g. Electronics, Grocery, Apparel)</w:t>
      </w:r>
      <w:r>
        <w:t xml:space="preserve"> </w:t>
      </w:r>
      <m:oMath>
        <m:r>
          <m:rPr>
            <m:sty m:val="p"/>
          </m:rPr>
          <m:t>→</m:t>
        </m:r>
      </m:oMath>
      <w:r>
        <w:t xml:space="preserve"> </w:t>
      </w:r>
      <w:r>
        <w:t xml:space="preserve">Store</w:t>
      </w:r>
      <w:r>
        <w:t xml:space="preserve"> </w:t>
      </w:r>
      <m:oMath>
        <m:r>
          <m:rPr>
            <m:sty m:val="p"/>
          </m:rPr>
          <m:t>→</m:t>
        </m:r>
      </m:oMath>
      <w:r>
        <w:t xml:space="preserve"> </w:t>
      </w:r>
      <w:r>
        <w:t xml:space="preserve">Region</w:t>
      </w:r>
      <w:r>
        <w:t xml:space="preserve"> </w:t>
      </w:r>
      <m:oMath>
        <m:r>
          <m:rPr>
            <m:sty m:val="p"/>
          </m:rPr>
          <m:t>→</m:t>
        </m:r>
      </m:oMath>
      <w:r>
        <w:t xml:space="preserve"> </w:t>
      </w:r>
      <w:r>
        <w:t xml:space="preserve">National Total.</w:t>
      </w:r>
    </w:p>
    <w:p>
      <w:pPr>
        <w:pStyle w:val="BodyText"/>
      </w:pPr>
      <w:r>
        <w:t xml:space="preserve">Future iterations can integrate</w:t>
      </w:r>
      <w:r>
        <w:t xml:space="preserve"> </w:t>
      </w:r>
      <w:r>
        <w:rPr>
          <w:b/>
          <w:bCs/>
        </w:rPr>
        <w:t xml:space="preserve">Hierarchical Time Series Reconciliation</w:t>
      </w:r>
      <w:r>
        <w:t xml:space="preserve"> </w:t>
      </w:r>
      <w:r>
        <w:t xml:space="preserve">via the</w:t>
      </w:r>
      <w:r>
        <w:t xml:space="preserve"> </w:t>
      </w:r>
      <w:r>
        <w:rPr>
          <w:b/>
          <w:bCs/>
        </w:rPr>
        <w:t xml:space="preserve">Minimum Trace (MinT)</w:t>
      </w:r>
      <w:r>
        <w:t xml:space="preserve"> </w:t>
      </w:r>
      <w:r>
        <w:t xml:space="preserve">estimator:</w:t>
      </w:r>
    </w:p>
    <w:p>
      <w:pPr>
        <w:pStyle w:val="BodyText"/>
      </w:pPr>
      <m:oMathPara>
        <m:oMathParaPr>
          <m:jc m:val="center"/>
        </m:oMathParaPr>
        <m:oMath>
          <m:sSub>
            <m:e>
              <m:acc>
                <m:accPr>
                  <m:chr m:val="̃"/>
                </m:accPr>
                <m:e>
                  <m:r>
                    <m:rPr>
                      <m:sty m:val="bi"/>
                    </m:rPr>
                    <m:t>y</m:t>
                  </m:r>
                </m:e>
              </m:acc>
            </m:e>
            <m:sub>
              <m:r>
                <m:t>t</m:t>
              </m:r>
            </m:sub>
          </m:sSub>
          <m:r>
            <m:rPr>
              <m:sty m:val="p"/>
            </m:rPr>
            <m:t>=</m:t>
          </m:r>
          <m:r>
            <m:rPr>
              <m:sty m:val="bi"/>
            </m:rPr>
            <m:t>S</m:t>
          </m:r>
          <m:r>
            <m:rPr>
              <m:sty m:val="p"/>
            </m:rPr>
            <m:t>(</m:t>
          </m:r>
          <m:sSup>
            <m:e>
              <m:r>
                <m:rPr>
                  <m:sty m:val="bi"/>
                </m:rPr>
                <m:t>S</m:t>
              </m:r>
            </m:e>
            <m:sup>
              <m:r>
                <m:rPr>
                  <m:sty m:val="p"/>
                </m:rPr>
                <m:t>′</m:t>
              </m:r>
            </m:sup>
          </m:sSup>
          <m:sSup>
            <m:e>
              <m:r>
                <m:rPr>
                  <m:sty m:val="bi"/>
                </m:rPr>
                <m:t>W</m:t>
              </m:r>
            </m:e>
            <m:sup>
              <m:r>
                <m:rPr>
                  <m:sty m:val="p"/>
                </m:rPr>
                <m:t>−</m:t>
              </m:r>
              <m:r>
                <m:t>1</m:t>
              </m:r>
            </m:sup>
          </m:sSup>
          <m:r>
            <m:rPr>
              <m:sty m:val="bi"/>
            </m:rPr>
            <m:t>S</m:t>
          </m:r>
          <m:sSup>
            <m:e>
              <m:r>
                <m:rPr>
                  <m:sty m:val="p"/>
                </m:rPr>
                <m:t>)</m:t>
              </m:r>
            </m:e>
            <m:sup>
              <m:r>
                <m:rPr>
                  <m:sty m:val="p"/>
                </m:rPr>
                <m:t>−</m:t>
              </m:r>
              <m:r>
                <m:t>1</m:t>
              </m:r>
            </m:sup>
          </m:sSup>
          <m:sSup>
            <m:e>
              <m:r>
                <m:rPr>
                  <m:sty m:val="bi"/>
                </m:rPr>
                <m:t>S</m:t>
              </m:r>
            </m:e>
            <m:sup>
              <m:r>
                <m:rPr>
                  <m:sty m:val="p"/>
                </m:rPr>
                <m:t>′</m:t>
              </m:r>
            </m:sup>
          </m:sSup>
          <m:sSup>
            <m:e>
              <m:r>
                <m:rPr>
                  <m:sty m:val="bi"/>
                </m:rPr>
                <m:t>W</m:t>
              </m:r>
            </m:e>
            <m:sup>
              <m:r>
                <m:rPr>
                  <m:sty m:val="p"/>
                </m:rPr>
                <m:t>−</m:t>
              </m:r>
              <m:r>
                <m:t>1</m:t>
              </m:r>
            </m:sup>
          </m:sSup>
          <m:sSub>
            <m:e>
              <m:acc>
                <m:accPr>
                  <m:chr m:val="̂"/>
                </m:accPr>
                <m:e>
                  <m:r>
                    <m:rPr>
                      <m:sty m:val="bi"/>
                    </m:rPr>
                    <m:t>y</m:t>
                  </m:r>
                </m:e>
              </m:acc>
            </m:e>
            <m:sub>
              <m:r>
                <m:t>t</m:t>
              </m:r>
            </m:sub>
          </m:sSub>
        </m:oMath>
      </m:oMathPara>
    </w:p>
    <w:p>
      <w:pPr>
        <w:pStyle w:val="FirstParagraph"/>
      </w:pPr>
      <w:r>
        <w:t xml:space="preserve">where</w:t>
      </w:r>
      <w:r>
        <w:t xml:space="preserve"> </w:t>
      </w:r>
      <m:oMath>
        <m:r>
          <m:rPr>
            <m:sty m:val="bi"/>
          </m:rPr>
          <m:t>S</m:t>
        </m:r>
      </m:oMath>
      <w:r>
        <w:t xml:space="preserve"> </w:t>
      </w:r>
      <w:r>
        <w:t xml:space="preserve">is the structural aggregation matrix and</w:t>
      </w:r>
      <w:r>
        <w:t xml:space="preserve"> </w:t>
      </w:r>
      <m:oMath>
        <m:r>
          <m:rPr>
            <m:sty m:val="bi"/>
          </m:rPr>
          <m:t>W</m:t>
        </m:r>
      </m:oMath>
      <w:r>
        <w:t xml:space="preserve"> </w:t>
      </w:r>
      <w:r>
        <w:t xml:space="preserve">is the forecast error covariance matrix. MinT guarantees that bottom-up departmental forecasts sum exactly to top-down national demand forecasts without manual reconciliation discrepancies.</w:t>
      </w:r>
    </w:p>
    <w:bookmarkEnd w:id="77"/>
    <w:bookmarkStart w:id="78" w:name="Xf775bbdf272bf9a12ca26e569c2b731f61c76c2"/>
    <w:p>
      <w:pPr>
        <w:pStyle w:val="Heading3"/>
      </w:pPr>
      <w:r>
        <w:t xml:space="preserve">10.2 Granular SKU-Level Intermittent Demand Modeling</w:t>
      </w:r>
    </w:p>
    <w:p>
      <w:pPr>
        <w:pStyle w:val="FirstParagraph"/>
      </w:pPr>
      <w:r>
        <w:t xml:space="preserve">At the individual product level (SKU), demand is frequently</w:t>
      </w:r>
      <w:r>
        <w:t xml:space="preserve"> </w:t>
      </w:r>
      <w:r>
        <w:t xml:space="preserve">“intermittent”</w:t>
      </w:r>
      <w:r>
        <w:t xml:space="preserve"> </w:t>
      </w:r>
      <w:r>
        <w:t xml:space="preserve">(characterized by frequent zero-demand weeks punctuated by lump-sum purchasing orders). Extending the current panel model with</w:t>
      </w:r>
      <w:r>
        <w:t xml:space="preserve"> </w:t>
      </w:r>
      <w:r>
        <w:rPr>
          <w:b/>
          <w:bCs/>
        </w:rPr>
        <w:t xml:space="preserve">DeepAR (Probabilistic Recurrent Neural Networks)</w:t>
      </w:r>
      <w:r>
        <w:t xml:space="preserve"> </w:t>
      </w:r>
      <w:r>
        <w:t xml:space="preserve">or</w:t>
      </w:r>
      <w:r>
        <w:t xml:space="preserve"> </w:t>
      </w:r>
      <w:r>
        <w:rPr>
          <w:b/>
          <w:bCs/>
        </w:rPr>
        <w:t xml:space="preserve">Croston’s Syntetos-Boylan Approximation (SBA)</w:t>
      </w:r>
      <w:r>
        <w:t xml:space="preserve"> </w:t>
      </w:r>
      <w:r>
        <w:t xml:space="preserve">would allow supply chain managers to generate full probability distribution intervals for slow-moving, high-margin inventory items.</w:t>
      </w:r>
    </w:p>
    <w:bookmarkEnd w:id="78"/>
    <w:bookmarkStart w:id="79" w:name="Xeaa5aad95e9dd44d51527518c2612d5047d9221"/>
    <w:p>
      <w:pPr>
        <w:pStyle w:val="Heading3"/>
      </w:pPr>
      <w:r>
        <w:t xml:space="preserve">10.3 Real-Time Weather Nowcasting &amp; Dynamic Promotional Pricing</w:t>
      </w:r>
    </w:p>
    <w:p>
      <w:pPr>
        <w:pStyle w:val="Compact"/>
        <w:numPr>
          <w:ilvl w:val="0"/>
          <w:numId w:val="1011"/>
        </w:numPr>
      </w:pPr>
      <w:r>
        <w:rPr>
          <w:b/>
          <w:bCs/>
        </w:rPr>
        <w:t xml:space="preserve">Automated NOAA Weather Integration</w:t>
      </w:r>
      <w:r>
        <w:t xml:space="preserve">: Incorporating short-term (7 to 14 day) localized meteorological feeds into the live inference pipeline. Severe weather events (e.g. winter blizzards or extreme heatwaves) create acute, predictable shifts between physical store foot traffic and e-commerce fulfillment.</w:t>
      </w:r>
    </w:p>
    <w:p>
      <w:pPr>
        <w:pStyle w:val="Compact"/>
        <w:numPr>
          <w:ilvl w:val="0"/>
          <w:numId w:val="1011"/>
        </w:numPr>
      </w:pPr>
      <w:r>
        <w:rPr>
          <w:b/>
          <w:bCs/>
        </w:rPr>
        <w:t xml:space="preserve">Dynamic Price Elasticity Simulation</w:t>
      </w:r>
      <w:r>
        <w:t xml:space="preserve">: Incorporating historical markdown depth and promotional coupon data to simulate optimal price markdown schedules that clear excess inventory post-Christmas while maximizing net revenue recovery.</w:t>
      </w:r>
    </w:p>
    <w:p>
      <w:r>
        <w:br w:type="page"/>
      </w:r>
    </w:p>
    <w:bookmarkEnd w:id="79"/>
    <w:bookmarkEnd w:id="80"/>
    <w:bookmarkStart w:id="83" w:name="conclusion"/>
    <w:p>
      <w:pPr>
        <w:pStyle w:val="Heading1"/>
      </w:pPr>
      <w:r>
        <w:t xml:space="preserve">11. Conclusion</w:t>
      </w:r>
    </w:p>
    <w:bookmarkStart w:id="81" w:name="Xfb4e093dce6536752a67e76f0c88f9120dadc48"/>
    <w:p>
      <w:pPr>
        <w:pStyle w:val="Heading3"/>
      </w:pPr>
      <w:r>
        <w:t xml:space="preserve">11.1 Project Synthesis &amp; Quantified Business Value</w:t>
      </w:r>
    </w:p>
    <w:p>
      <w:pPr>
        <w:pStyle w:val="FirstParagraph"/>
      </w:pPr>
      <w:r>
        <w:t xml:space="preserve">This Capstone project successfully delivers an end-to-end, statistically validated demand forecasting and inventory optimization framework for Walmart’s 45-store nationwide network. By moving away from static, single-series heuristics to a global gradient-boosted decision tree architecture with cyclical and autoregressive lag engineering, the retail enterprise achieves substantial operational improvements:</w:t>
      </w:r>
    </w:p>
    <w:p>
      <w:pPr>
        <w:pStyle w:val="Compact"/>
        <w:numPr>
          <w:ilvl w:val="0"/>
          <w:numId w:val="1012"/>
        </w:numPr>
      </w:pPr>
      <w:r>
        <w:rPr>
          <w:b/>
          <w:bCs/>
        </w:rPr>
        <w:t xml:space="preserve">State-of-the-Art Accuracy</w:t>
      </w:r>
      <w:r>
        <w:t xml:space="preserve">: The champion Tuned XGBoost regressor delivers an out-of-sample</w:t>
      </w:r>
      <w:r>
        <w:t xml:space="preserve"> </w:t>
      </w:r>
      <w:r>
        <w:rPr>
          <w:b/>
          <w:bCs/>
        </w:rPr>
        <w:t xml:space="preserve">RMSE of $49,140.51</w:t>
      </w:r>
      <w:r>
        <w:t xml:space="preserve"> </w:t>
      </w:r>
      <w:r>
        <w:t xml:space="preserve">and a</w:t>
      </w:r>
      <w:r>
        <w:t xml:space="preserve"> </w:t>
      </w:r>
      <w:r>
        <w:rPr>
          <w:b/>
          <w:bCs/>
        </w:rPr>
        <w:t xml:space="preserve">WAPE of 3.27%</w:t>
      </w:r>
      <w:r>
        <w:t xml:space="preserve"> </w:t>
      </w:r>
      <w:r>
        <w:t xml:space="preserve">across all 45 stores, breaking below the $50,000 error threshold and reducing national forecast error by</w:t>
      </w:r>
      <w:r>
        <w:t xml:space="preserve"> </w:t>
      </w:r>
      <w:r>
        <w:rPr>
          <w:b/>
          <w:bCs/>
        </w:rPr>
        <w:t xml:space="preserve">&gt;28%</w:t>
      </w:r>
      <w:r>
        <w:t xml:space="preserve"> </w:t>
      </w:r>
      <w:r>
        <w:t xml:space="preserve">relative to naive persistence.</w:t>
      </w:r>
    </w:p>
    <w:p>
      <w:pPr>
        <w:pStyle w:val="Compact"/>
        <w:numPr>
          <w:ilvl w:val="0"/>
          <w:numId w:val="1012"/>
        </w:numPr>
      </w:pPr>
      <w:r>
        <w:rPr>
          <w:b/>
          <w:bCs/>
        </w:rPr>
        <w:t xml:space="preserve">Empirical Validation</w:t>
      </w:r>
      <w:r>
        <w:t xml:space="preserve">: Time series stationarity was rigorously verified via ADF (</w:t>
      </w:r>
      <m:oMath>
        <m:r>
          <m:t>p</m:t>
        </m:r>
        <m:r>
          <m:rPr>
            <m:sty m:val="p"/>
          </m:rPr>
          <m:t>&lt;</m:t>
        </m:r>
        <m:r>
          <m:t>0.0001</m:t>
        </m:r>
      </m:oMath>
      <w:r>
        <w:t xml:space="preserve">) and KPSS tests. Multi-fold chronological</w:t>
      </w:r>
      <w:r>
        <w:t xml:space="preserve"> </w:t>
      </w:r>
      <w:r>
        <w:rPr>
          <w:rStyle w:val="VerbatimChar"/>
        </w:rPr>
        <w:t xml:space="preserve">TimeSeriesSplit</w:t>
      </w:r>
      <w:r>
        <w:t xml:space="preserve"> </w:t>
      </w:r>
      <w:r>
        <w:t xml:space="preserve">cross-validation ensured that model hyperparameters (depth 7, learning rate 0.04, 300 estimators) strictly outshine baseline configurations without future data leakage.</w:t>
      </w:r>
    </w:p>
    <w:p>
      <w:pPr>
        <w:pStyle w:val="Compact"/>
        <w:numPr>
          <w:ilvl w:val="0"/>
          <w:numId w:val="1012"/>
        </w:numPr>
      </w:pPr>
      <w:r>
        <w:rPr>
          <w:b/>
          <w:bCs/>
        </w:rPr>
        <w:t xml:space="preserve">Actionable Supply Chain Policy</w:t>
      </w:r>
      <w:r>
        <w:t xml:space="preserve">: By combining point forecasts with empirical error distributions, store managers are provided with mathematically grounded safety stock buffers (</w:t>
      </w:r>
    </w:p>
    <w:p>
      <w:pPr>
        <w:pStyle w:val="Compact"/>
      </w:pPr>
      <m:oMathPara>
        <m:oMathParaPr>
          <m:jc m:val="center"/>
        </m:oMathParaPr>
        <m:oMath>
          <m:sSub>
            <m:e>
              <m:r>
                <m:t>Z</m:t>
              </m:r>
            </m:e>
            <m:sub>
              <m:r>
                <m:t>α</m:t>
              </m:r>
            </m:sub>
          </m:sSub>
          <m:r>
            <m:rPr>
              <m:sty m:val="p"/>
            </m:rPr>
            <m:t>×</m:t>
          </m:r>
          <m:r>
            <m:rPr>
              <m:nor/>
              <m:sty m:val="p"/>
            </m:rPr>
            <m:t>RMSE</m:t>
          </m:r>
          <m:r>
            <m:rPr>
              <m:sty m:val="p"/>
            </m:rPr>
            <m:t>×</m:t>
          </m:r>
          <m:rad>
            <m:radPr>
              <m:degHide m:val="on"/>
            </m:radPr>
            <m:deg/>
            <m:e>
              <m:r>
                <m:t>L</m:t>
              </m:r>
            </m:e>
          </m:rad>
        </m:oMath>
      </m:oMathPara>
    </w:p>
    <w:p>
      <w:pPr>
        <w:pStyle w:val="Compact"/>
        <w:numPr>
          <w:ilvl w:val="0"/>
          <w:numId w:val="1000"/>
        </w:numPr>
      </w:pPr>
      <w:r>
        <w:t xml:space="preserve">) and Reorder Points that guarantee</w:t>
      </w:r>
      <w:r>
        <w:t xml:space="preserve"> </w:t>
      </w:r>
      <w:r>
        <w:rPr>
          <w:b/>
          <w:bCs/>
        </w:rPr>
        <w:t xml:space="preserve">95% to 98% on-shelf availability</w:t>
      </w:r>
      <w:r>
        <w:t xml:space="preserve"> </w:t>
      </w:r>
      <w:r>
        <w:t xml:space="preserve">while preventing costly post-holiday overstock gluts.</w:t>
      </w:r>
    </w:p>
    <w:bookmarkEnd w:id="81"/>
    <w:bookmarkStart w:id="82" w:name="operational-deployment-sign-off"/>
    <w:p>
      <w:pPr>
        <w:pStyle w:val="Heading3"/>
      </w:pPr>
      <w:r>
        <w:t xml:space="preserve">11.2 Operational Deployment Sign-Off</w:t>
      </w:r>
    </w:p>
    <w:p>
      <w:pPr>
        <w:pStyle w:val="FirstParagraph"/>
      </w:pPr>
      <w:r>
        <w:t xml:space="preserve">All 7 versioned preprocessed datasets (</w:t>
      </w:r>
      <w:r>
        <w:rPr>
          <w:rStyle w:val="VerbatimChar"/>
        </w:rPr>
        <w:t xml:space="preserve">data_processed/</w:t>
      </w:r>
      <w:r>
        <w:t xml:space="preserve">), 9 publication-grade figures (</w:t>
      </w:r>
      <w:r>
        <w:rPr>
          <w:rStyle w:val="VerbatimChar"/>
        </w:rPr>
        <w:t xml:space="preserve">plots/</w:t>
      </w:r>
      <w:r>
        <w:t xml:space="preserve">), and 6 compressed model serializations (</w:t>
      </w:r>
      <w:r>
        <w:rPr>
          <w:rStyle w:val="VerbatimChar"/>
        </w:rPr>
        <w:t xml:space="preserve">models/</w:t>
      </w:r>
      <w:r>
        <w:t xml:space="preserve">) are fully preserved in the project repository, ready for automated integration into enterprise Enterprise Resource Planning (ERP) and Warehouse Management Systems (WMS).</w:t>
      </w:r>
    </w:p>
    <w:p>
      <w:r>
        <w:br w:type="page"/>
      </w:r>
    </w:p>
    <w:bookmarkEnd w:id="82"/>
    <w:bookmarkEnd w:id="83"/>
    <w:bookmarkStart w:id="84" w:name="references"/>
    <w:p>
      <w:pPr>
        <w:pStyle w:val="Heading1"/>
      </w:pPr>
      <w:r>
        <w:t xml:space="preserve">12. References</w:t>
      </w:r>
    </w:p>
    <w:p>
      <w:pPr>
        <w:pStyle w:val="Compact"/>
        <w:numPr>
          <w:ilvl w:val="0"/>
          <w:numId w:val="1013"/>
        </w:numPr>
      </w:pPr>
      <w:r>
        <w:rPr>
          <w:b/>
          <w:bCs/>
        </w:rPr>
        <w:t xml:space="preserve">Box, G. E., Jenkins, G. M., Reinsel, G. C., &amp; Ljung, G. M.</w:t>
      </w:r>
      <w:r>
        <w:t xml:space="preserve"> </w:t>
      </w:r>
      <w:r>
        <w:t xml:space="preserve">(2015).</w:t>
      </w:r>
      <w:r>
        <w:t xml:space="preserve"> </w:t>
      </w:r>
      <w:r>
        <w:rPr>
          <w:i/>
          <w:iCs/>
        </w:rPr>
        <w:t xml:space="preserve">Time Series Analysis: Forecasting and Control</w:t>
      </w:r>
      <w:r>
        <w:t xml:space="preserve"> </w:t>
      </w:r>
      <w:r>
        <w:t xml:space="preserve">(5th ed.). John Wiley &amp; Sons.</w:t>
      </w:r>
    </w:p>
    <w:p>
      <w:pPr>
        <w:pStyle w:val="Compact"/>
        <w:numPr>
          <w:ilvl w:val="0"/>
          <w:numId w:val="1013"/>
        </w:numPr>
      </w:pPr>
      <w:r>
        <w:rPr>
          <w:b/>
          <w:bCs/>
        </w:rPr>
        <w:t xml:space="preserve">Chen, T., &amp; Guestrin, C.</w:t>
      </w:r>
      <w:r>
        <w:t xml:space="preserve"> </w:t>
      </w:r>
      <w:r>
        <w:t xml:space="preserve">(2016). XGBoost: A Scalable Tree Boosting System. In</w:t>
      </w:r>
      <w:r>
        <w:t xml:space="preserve"> </w:t>
      </w:r>
      <w:r>
        <w:rPr>
          <w:i/>
          <w:iCs/>
        </w:rPr>
        <w:t xml:space="preserve">Proceedings of the 22nd ACM SIGKDD International Conference on Knowledge Discovery and Data Mining</w:t>
      </w:r>
      <w:r>
        <w:t xml:space="preserve"> </w:t>
      </w:r>
      <w:r>
        <w:t xml:space="preserve">(pp. 785–794). ACM.</w:t>
      </w:r>
    </w:p>
    <w:p>
      <w:pPr>
        <w:pStyle w:val="Compact"/>
        <w:numPr>
          <w:ilvl w:val="0"/>
          <w:numId w:val="1013"/>
        </w:numPr>
      </w:pPr>
      <w:r>
        <w:rPr>
          <w:b/>
          <w:bCs/>
        </w:rPr>
        <w:t xml:space="preserve">Hyndman, R. J., &amp; Athanasopoulos, G.</w:t>
      </w:r>
      <w:r>
        <w:t xml:space="preserve"> </w:t>
      </w:r>
      <w:r>
        <w:t xml:space="preserve">(2021).</w:t>
      </w:r>
      <w:r>
        <w:t xml:space="preserve"> </w:t>
      </w:r>
      <w:r>
        <w:rPr>
          <w:i/>
          <w:iCs/>
        </w:rPr>
        <w:t xml:space="preserve">Forecasting: Principles and Practice</w:t>
      </w:r>
      <w:r>
        <w:t xml:space="preserve"> </w:t>
      </w:r>
      <w:r>
        <w:t xml:space="preserve">(3rd ed.). OTexts: Melbourne, Australia. OTexts.com/fpp3.</w:t>
      </w:r>
    </w:p>
    <w:p>
      <w:pPr>
        <w:pStyle w:val="Compact"/>
        <w:numPr>
          <w:ilvl w:val="0"/>
          <w:numId w:val="1013"/>
        </w:numPr>
      </w:pPr>
      <w:r>
        <w:rPr>
          <w:b/>
          <w:bCs/>
        </w:rPr>
        <w:t xml:space="preserve">Hyndman, R. J., Ahmed, R. A., Athanasopoulos, G., &amp; Shang, H. L.</w:t>
      </w:r>
      <w:r>
        <w:t xml:space="preserve"> </w:t>
      </w:r>
      <w:r>
        <w:t xml:space="preserve">(2011). Optimal combination forecasts for hierarchical time series.</w:t>
      </w:r>
      <w:r>
        <w:t xml:space="preserve"> </w:t>
      </w:r>
      <w:r>
        <w:rPr>
          <w:i/>
          <w:iCs/>
        </w:rPr>
        <w:t xml:space="preserve">Computational Statistics &amp; Data Analysis</w:t>
      </w:r>
      <w:r>
        <w:t xml:space="preserve">, 55(9), 2579–2589.</w:t>
      </w:r>
    </w:p>
    <w:p>
      <w:pPr>
        <w:pStyle w:val="Compact"/>
        <w:numPr>
          <w:ilvl w:val="0"/>
          <w:numId w:val="1013"/>
        </w:numPr>
      </w:pPr>
      <w:r>
        <w:rPr>
          <w:b/>
          <w:bCs/>
        </w:rPr>
        <w:t xml:space="preserve">Silver, E. A., Pyke, D. F., &amp; Peterson, R.</w:t>
      </w:r>
      <w:r>
        <w:t xml:space="preserve"> </w:t>
      </w:r>
      <w:r>
        <w:t xml:space="preserve">(1998).</w:t>
      </w:r>
      <w:r>
        <w:t xml:space="preserve"> </w:t>
      </w:r>
      <w:r>
        <w:rPr>
          <w:i/>
          <w:iCs/>
        </w:rPr>
        <w:t xml:space="preserve">Inventory Management and Production Planning and Scheduling</w:t>
      </w:r>
      <w:r>
        <w:t xml:space="preserve"> </w:t>
      </w:r>
      <w:r>
        <w:t xml:space="preserve">(3rd ed.). John Wiley &amp; Sons.</w:t>
      </w:r>
    </w:p>
    <w:p>
      <w:pPr>
        <w:pStyle w:val="Compact"/>
        <w:numPr>
          <w:ilvl w:val="0"/>
          <w:numId w:val="1013"/>
        </w:numPr>
      </w:pPr>
      <w:r>
        <w:rPr>
          <w:b/>
          <w:bCs/>
        </w:rPr>
        <w:t xml:space="preserve">Taylor, S. J., &amp; Letham, B.</w:t>
      </w:r>
      <w:r>
        <w:t xml:space="preserve"> </w:t>
      </w:r>
      <w:r>
        <w:t xml:space="preserve">(2018). Forecasting at scale.</w:t>
      </w:r>
      <w:r>
        <w:t xml:space="preserve"> </w:t>
      </w:r>
      <w:r>
        <w:rPr>
          <w:i/>
          <w:iCs/>
        </w:rPr>
        <w:t xml:space="preserve">The American Statistician</w:t>
      </w:r>
      <w:r>
        <w:t xml:space="preserve">, 72(1), 37–45.</w:t>
      </w:r>
    </w:p>
    <w:p>
      <w:pPr>
        <w:pStyle w:val="Compact"/>
        <w:numPr>
          <w:ilvl w:val="0"/>
          <w:numId w:val="1013"/>
        </w:numPr>
      </w:pPr>
      <w:r>
        <w:rPr>
          <w:b/>
          <w:bCs/>
        </w:rPr>
        <w:t xml:space="preserve">Wickham, H.</w:t>
      </w:r>
      <w:r>
        <w:t xml:space="preserve"> </w:t>
      </w:r>
      <w:r>
        <w:t xml:space="preserve">(2014). Tidy Data.</w:t>
      </w:r>
      <w:r>
        <w:t xml:space="preserve"> </w:t>
      </w:r>
      <w:r>
        <w:rPr>
          <w:i/>
          <w:iCs/>
        </w:rPr>
        <w:t xml:space="preserve">Journal of Statistical Software</w:t>
      </w:r>
      <w:r>
        <w:t xml:space="preserve">, 59(10), 1–23.</w:t>
      </w:r>
    </w:p>
    <w:bookmarkEnd w:id="8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 Target="media/rId23.png" /><Relationship Type="http://schemas.openxmlformats.org/officeDocument/2006/relationships/image" Id="rId34" Target="media/rId34.png" /><Relationship Type="http://schemas.openxmlformats.org/officeDocument/2006/relationships/image" Id="rId29" Target="media/rId29.png" /><Relationship Type="http://schemas.openxmlformats.org/officeDocument/2006/relationships/image" Id="rId42" Target="media/rId42.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61" Target="media/rId61.png" /><Relationship Type="http://schemas.openxmlformats.org/officeDocument/2006/relationships/image" Id="rId66" Target="media/rId66.png" /><Relationship Type="http://schemas.openxmlformats.org/officeDocument/2006/relationships/image" Id="rId72" Target="media/rId7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2026-10-27T12:56:15Z</dcterms:created>
  <dcterms:modified xsi:type="dcterms:W3CDTF">2026-10-27T12:56:15Z</dcterms:modified>
</cp:coreProperties>
</file>

<file path=docProps/custom.xml><?xml version="1.0" encoding="utf-8"?>
<Properties xmlns="http://schemas.openxmlformats.org/officeDocument/2006/custom-properties" xmlns:vt="http://schemas.openxmlformats.org/officeDocument/2006/docPropsVTypes"/>
</file>