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4"/>
        </w:rPr>
        <w:t>Aman Bisht</w:t>
      </w:r>
    </w:p>
    <w:p>
      <w:pPr>
        <w:spacing w:before="0" w:after="80" w:line="276" w:lineRule="auto"/>
      </w:pPr>
      <w:r>
        <w:rPr>
          <w:rFonts w:ascii="Calibri" w:hAnsi="Calibri"/>
          <w:color w:val="3C3C3C"/>
          <w:sz w:val="19"/>
        </w:rPr>
        <w:t>Mobile: +91 7973478552 | Email: amanbishtab99@gmail.com | Location: Mohali / Chandigarh, India</w:t>
        <w:br/>
        <w:t>Portfolio: https://resume-lemon-eta.vercel.app | LinkedIn: linkedin.com/in/aman-bisht | GitHub: github.com/AmanBeast</w:t>
      </w:r>
    </w:p>
    <w:p>
      <w:pPr>
        <w:spacing w:before="40" w:after="120"/>
      </w:pPr>
      <w:r>
        <w:rPr>
          <w:rFonts w:ascii="Calibri" w:hAnsi="Calibri"/>
          <w:b/>
          <w:i/>
          <w:color w:val="1B365D"/>
          <w:sz w:val="20"/>
        </w:rPr>
        <w:t>"Business-driven Data Analyst equipped with strong Computer Science fundamentals, passionate about unlocking revenue growth, operational efficiency, and strategic insights through enterprise data modeling, advanced SQL, interactive BI dashboards, and modern data-app deployment."</w:t>
      </w:r>
    </w:p>
    <w:p>
      <w:pPr>
        <w:keepNext/>
        <w:spacing w:before="120" w:after="60"/>
        <w:pBdr>
          <w:bottom w:val="single" w:sz="6" w:space="2" w:color="1B365D"/>
        </w:pBdr>
      </w:pPr>
      <w:r>
        <w:rPr>
          <w:rFonts w:ascii="Calibri" w:hAnsi="Calibri"/>
          <w:b/>
          <w:color w:val="1B365D"/>
          <w:sz w:val="22"/>
        </w:rPr>
        <w:t>PROJECT EXPERIENCE</w:t>
      </w:r>
    </w:p>
    <w:p>
      <w:pPr>
        <w:spacing w:before="80" w:after="20"/>
      </w:pPr>
      <w:r>
        <w:rPr>
          <w:b/>
          <w:sz w:val="22"/>
        </w:rPr>
        <w:t>Omnichannel Retail &amp; Commercial Sales Analytics</w:t>
        <w:br/>
      </w:r>
      <w:r>
        <w:rPr>
          <w:b/>
          <w:color w:val="1B365D"/>
          <w:sz w:val="19"/>
        </w:rPr>
        <w:t>SQL (PostgreSQL &amp; MySQL) – Data Modeling &amp; Power BI Dashboard</w:t>
      </w:r>
    </w:p>
    <w:p>
      <w:pPr>
        <w:pStyle w:val="ListBullet"/>
        <w:spacing w:before="0" w:after="40" w:line="252" w:lineRule="auto"/>
      </w:pPr>
      <w:r>
        <w:rPr>
          <w:rFonts w:ascii="Calibri" w:hAnsi="Calibri"/>
          <w:b w:val="0"/>
          <w:sz w:val="19"/>
        </w:rPr>
        <w:t xml:space="preserve">Ingested and structured multi-thousand row transactional datasets </w:t>
      </w:r>
      <w:r>
        <w:rPr>
          <w:rFonts w:ascii="Calibri" w:hAnsi="Calibri"/>
          <w:b w:val="0"/>
          <w:sz w:val="19"/>
        </w:rPr>
        <w:t>across sales representatives, geographies, teams, and product lines, enforcing star-schema relationships and data validation constraints.</w:t>
      </w:r>
    </w:p>
    <w:p>
      <w:pPr>
        <w:pStyle w:val="ListBullet"/>
        <w:spacing w:before="0" w:after="40" w:line="252" w:lineRule="auto"/>
      </w:pPr>
      <w:r>
        <w:rPr>
          <w:rFonts w:ascii="Calibri" w:hAnsi="Calibri"/>
          <w:b w:val="0"/>
          <w:sz w:val="19"/>
        </w:rPr>
        <w:t xml:space="preserve">Formulated complex SQL scripts utilizing Common Table Expressions (CTEs), Subqueries, and Window Functions </w:t>
      </w:r>
      <w:r>
        <w:rPr>
          <w:rFonts w:ascii="Calibri" w:hAnsi="Calibri"/>
          <w:b/>
          <w:sz w:val="19"/>
        </w:rPr>
        <w:t>(DENSE_RANK(), ROW_NUMBER(), LAG(), LEAD()) to calculate Month-over-Month (MoM) revenue trends, run-rate velocity, and regional sales rankings.</w:t>
      </w:r>
    </w:p>
    <w:p>
      <w:pPr>
        <w:pStyle w:val="ListBullet"/>
        <w:spacing w:before="0" w:after="40" w:line="252" w:lineRule="auto"/>
      </w:pPr>
      <w:r>
        <w:rPr>
          <w:rFonts w:ascii="Calibri" w:hAnsi="Calibri"/>
          <w:b/>
          <w:sz w:val="19"/>
        </w:rPr>
        <w:t xml:space="preserve">Developed dynamic DAX measures in Power BI </w:t>
      </w:r>
      <w:r>
        <w:rPr>
          <w:rFonts w:ascii="Calibri" w:hAnsi="Calibri"/>
          <w:b w:val="0"/>
          <w:sz w:val="19"/>
        </w:rPr>
        <w:t>including Moving Averages, Year-to-Date (YTD) Revenue, Margin %, and Variance vs Target across multiple distribution channels.</w:t>
      </w:r>
    </w:p>
    <w:p>
      <w:pPr>
        <w:pStyle w:val="ListBullet"/>
        <w:spacing w:before="0" w:after="40" w:line="252" w:lineRule="auto"/>
      </w:pPr>
      <w:r>
        <w:rPr>
          <w:rFonts w:ascii="Calibri" w:hAnsi="Calibri"/>
          <w:b/>
          <w:sz w:val="19"/>
        </w:rPr>
        <w:t xml:space="preserve">Engineered an Executive Sales Dashboard with 3-tier drill-down capability </w:t>
      </w:r>
      <w:r>
        <w:rPr>
          <w:rFonts w:ascii="Calibri" w:hAnsi="Calibri"/>
          <w:b w:val="0"/>
          <w:sz w:val="19"/>
        </w:rPr>
        <w:t>(Territory ➔ Category ➔ Representative), isolating top-performing SKUs and identifying underperforming territories for targeted sales interventions.</w:t>
      </w:r>
    </w:p>
    <w:p>
      <w:pPr>
        <w:pStyle w:val="ListBullet"/>
        <w:spacing w:before="0" w:after="40" w:line="252" w:lineRule="auto"/>
      </w:pPr>
      <w:r>
        <w:rPr>
          <w:rFonts w:ascii="Calibri" w:hAnsi="Calibri"/>
          <w:b/>
          <w:sz w:val="19"/>
        </w:rPr>
        <w:t xml:space="preserve">Streamlined reporting turnaround time by 60% </w:t>
      </w:r>
      <w:r>
        <w:rPr>
          <w:rFonts w:ascii="Calibri" w:hAnsi="Calibri"/>
          <w:b w:val="0"/>
          <w:sz w:val="19"/>
        </w:rPr>
        <w:t>by replacing ad-hoc spreadsheet updates with automated SQL views and parameterized query logic.</w:t>
      </w:r>
    </w:p>
    <w:p>
      <w:pPr>
        <w:spacing w:before="100" w:after="20"/>
      </w:pPr>
      <w:r>
        <w:rPr>
          <w:b/>
          <w:sz w:val="22"/>
        </w:rPr>
        <w:t>Healthcare Operations &amp; Clinical Billing Intelligence</w:t>
        <w:br/>
      </w:r>
      <w:r>
        <w:rPr>
          <w:b/>
          <w:color w:val="1B365D"/>
          <w:sz w:val="19"/>
        </w:rPr>
        <w:t>Relational Data Modeling &amp; Tableau Executive Dashboard</w:t>
      </w:r>
    </w:p>
    <w:p>
      <w:pPr>
        <w:pStyle w:val="ListBullet"/>
        <w:spacing w:before="0" w:after="40" w:line="252" w:lineRule="auto"/>
      </w:pPr>
      <w:r>
        <w:rPr>
          <w:rFonts w:ascii="Calibri" w:hAnsi="Calibri"/>
          <w:b w:val="0"/>
          <w:sz w:val="19"/>
        </w:rPr>
        <w:t xml:space="preserve">Constructed a comprehensive relational data model </w:t>
      </w:r>
      <w:r>
        <w:rPr>
          <w:rFonts w:ascii="Calibri" w:hAnsi="Calibri"/>
          <w:b/>
          <w:sz w:val="19"/>
        </w:rPr>
        <w:t>across 5 clinical entity tables: Patients, Doctors, Appointments, Treatments, and Billing records.</w:t>
      </w:r>
    </w:p>
    <w:p>
      <w:pPr>
        <w:pStyle w:val="ListBullet"/>
        <w:spacing w:before="0" w:after="40" w:line="252" w:lineRule="auto"/>
      </w:pPr>
      <w:r>
        <w:rPr>
          <w:rFonts w:ascii="Calibri" w:hAnsi="Calibri"/>
          <w:b w:val="0"/>
          <w:sz w:val="19"/>
        </w:rPr>
        <w:t xml:space="preserve">Conducted cohort analysis to evaluate Patient Length of Stay (LoS), </w:t>
      </w:r>
      <w:r>
        <w:rPr>
          <w:rFonts w:ascii="Calibri" w:hAnsi="Calibri"/>
          <w:b w:val="0"/>
          <w:sz w:val="19"/>
        </w:rPr>
        <w:t>Readmission Rates, Doctor Workload Capacity, and Outpatient vs. Inpatient utilization metrics.</w:t>
      </w:r>
    </w:p>
    <w:p>
      <w:pPr>
        <w:pStyle w:val="ListBullet"/>
        <w:spacing w:before="0" w:after="40" w:line="252" w:lineRule="auto"/>
      </w:pPr>
      <w:r>
        <w:rPr>
          <w:rFonts w:ascii="Calibri" w:hAnsi="Calibri"/>
          <w:b/>
          <w:sz w:val="19"/>
        </w:rPr>
        <w:t xml:space="preserve">Designed an interactive Tableau Dashboard </w:t>
      </w:r>
      <w:r>
        <w:rPr>
          <w:rFonts w:ascii="Calibri" w:hAnsi="Calibri"/>
          <w:b w:val="0"/>
          <w:sz w:val="19"/>
        </w:rPr>
        <w:t>leveraging Level of Detail (LOD) expressions, calculated fields, dynamic parameters, and cross-dashboard action filters.</w:t>
      </w:r>
    </w:p>
    <w:p>
      <w:pPr>
        <w:pStyle w:val="ListBullet"/>
        <w:spacing w:before="0" w:after="40" w:line="252" w:lineRule="auto"/>
      </w:pPr>
      <w:r>
        <w:rPr>
          <w:rFonts w:ascii="Calibri" w:hAnsi="Calibri"/>
          <w:b/>
          <w:sz w:val="19"/>
        </w:rPr>
        <w:t xml:space="preserve">Uncovered critical billing bottlenecks, </w:t>
      </w:r>
      <w:r>
        <w:rPr>
          <w:rFonts w:ascii="Calibri" w:hAnsi="Calibri"/>
          <w:b/>
          <w:sz w:val="19"/>
        </w:rPr>
        <w:t>including outstanding account receivables across specific treatment types, providing clinical leadership with actionable roadmaps to improve cash collection cycles by 18%.</w:t>
      </w:r>
    </w:p>
    <w:p>
      <w:pPr>
        <w:pStyle w:val="ListBullet"/>
        <w:spacing w:before="0" w:after="40" w:line="252" w:lineRule="auto"/>
      </w:pPr>
      <w:r>
        <w:rPr>
          <w:rFonts w:ascii="Calibri" w:hAnsi="Calibri"/>
          <w:b w:val="0"/>
          <w:sz w:val="19"/>
        </w:rPr>
        <w:t xml:space="preserve">Visualized physician capacity utilization </w:t>
      </w:r>
      <w:r>
        <w:rPr>
          <w:rFonts w:ascii="Calibri" w:hAnsi="Calibri"/>
          <w:b w:val="0"/>
          <w:sz w:val="19"/>
        </w:rPr>
        <w:t>to balance appointment loads across shifts, mitigating scheduling bottlenecks during peak hospital hours.</w:t>
      </w:r>
    </w:p>
    <w:p>
      <w:pPr>
        <w:spacing w:before="100" w:after="20"/>
      </w:pPr>
      <w:r>
        <w:rPr>
          <w:b/>
          <w:sz w:val="22"/>
        </w:rPr>
        <w:t>Telecom Customer Retention &amp; Churn Diagnostic Analysis</w:t>
        <w:br/>
      </w:r>
      <w:r>
        <w:rPr>
          <w:b/>
          <w:color w:val="1B365D"/>
          <w:sz w:val="19"/>
        </w:rPr>
        <w:t>Python (Pandas, NumPy, Matplotlib, Seaborn) &amp; Statistical EDA</w:t>
      </w:r>
    </w:p>
    <w:p>
      <w:pPr>
        <w:pStyle w:val="ListBullet"/>
        <w:spacing w:before="0" w:after="40" w:line="252" w:lineRule="auto"/>
      </w:pPr>
      <w:r>
        <w:rPr>
          <w:rFonts w:ascii="Calibri" w:hAnsi="Calibri"/>
          <w:b/>
          <w:sz w:val="19"/>
        </w:rPr>
        <w:t xml:space="preserve">Executed diagnostic exploratory data analysis on 7,043 customer accounts </w:t>
      </w:r>
      <w:r>
        <w:rPr>
          <w:rFonts w:ascii="Calibri" w:hAnsi="Calibri"/>
          <w:b w:val="0"/>
          <w:sz w:val="19"/>
        </w:rPr>
        <w:t>to identify root causes of customer churn and attrition velocity across diverse service lines.</w:t>
      </w:r>
    </w:p>
    <w:p>
      <w:pPr>
        <w:pStyle w:val="ListBullet"/>
        <w:spacing w:before="0" w:after="40" w:line="252" w:lineRule="auto"/>
      </w:pPr>
      <w:r>
        <w:rPr>
          <w:rFonts w:ascii="Calibri" w:hAnsi="Calibri"/>
          <w:b w:val="0"/>
          <w:sz w:val="19"/>
        </w:rPr>
        <w:t xml:space="preserve">Engineered features quantifying customer lifetime value (CLV), </w:t>
      </w:r>
      <w:r>
        <w:rPr>
          <w:rFonts w:ascii="Calibri" w:hAnsi="Calibri"/>
          <w:b w:val="0"/>
          <w:sz w:val="19"/>
        </w:rPr>
        <w:t>tenure cohorts, and service adoption bundles (streaming services, online security, tech support).</w:t>
      </w:r>
    </w:p>
    <w:p>
      <w:pPr>
        <w:pStyle w:val="ListBullet"/>
        <w:spacing w:before="0" w:after="40" w:line="252" w:lineRule="auto"/>
      </w:pPr>
      <w:r>
        <w:rPr>
          <w:rFonts w:ascii="Calibri" w:hAnsi="Calibri"/>
          <w:b w:val="0"/>
          <w:sz w:val="19"/>
        </w:rPr>
        <w:t xml:space="preserve">Leveraged statistical correlation matrices and visual distribution modeling </w:t>
      </w:r>
      <w:r>
        <w:rPr>
          <w:rFonts w:ascii="Calibri" w:hAnsi="Calibri"/>
          <w:b/>
          <w:sz w:val="19"/>
        </w:rPr>
        <w:t>to prove that month-to-month contracts and electronic check payments exhibited a 3.5x higher churn velocity compared to annual commitments.</w:t>
      </w:r>
    </w:p>
    <w:p>
      <w:pPr>
        <w:pStyle w:val="ListBullet"/>
        <w:spacing w:before="0" w:after="40" w:line="252" w:lineRule="auto"/>
      </w:pPr>
      <w:r>
        <w:rPr>
          <w:rFonts w:ascii="Calibri" w:hAnsi="Calibri"/>
          <w:b/>
          <w:sz w:val="19"/>
        </w:rPr>
        <w:t xml:space="preserve">Delivered an executive-ready data presentation and strategic retention roadmap </w:t>
      </w:r>
      <w:r>
        <w:rPr>
          <w:rFonts w:ascii="Calibri" w:hAnsi="Calibri"/>
          <w:b/>
          <w:sz w:val="19"/>
        </w:rPr>
        <w:t>recommending targeted contractual incentives, projected to curtail customer churn by 14%.</w:t>
      </w:r>
    </w:p>
    <w:p>
      <w:pPr>
        <w:spacing w:before="100" w:after="20"/>
      </w:pPr>
      <w:r>
        <w:rPr>
          <w:b/>
          <w:sz w:val="22"/>
        </w:rPr>
        <w:t>End-to-End Predictive Analytics &amp; Interactive Web Application</w:t>
        <w:br/>
      </w:r>
      <w:r>
        <w:rPr>
          <w:b/>
          <w:color w:val="1B365D"/>
          <w:sz w:val="19"/>
        </w:rPr>
        <w:t>Full-Stack Data Engineering: Python, MySQL, Streamlit &amp; Scikit-Learn</w:t>
      </w:r>
    </w:p>
    <w:p>
      <w:pPr>
        <w:pStyle w:val="ListBullet"/>
        <w:spacing w:before="0" w:after="40" w:line="252" w:lineRule="auto"/>
      </w:pPr>
      <w:r>
        <w:rPr>
          <w:rFonts w:ascii="Calibri" w:hAnsi="Calibri"/>
          <w:b/>
          <w:sz w:val="19"/>
        </w:rPr>
        <w:t xml:space="preserve">Architected an end-to-end data pipeline: </w:t>
      </w:r>
      <w:r>
        <w:rPr>
          <w:rFonts w:ascii="Calibri" w:hAnsi="Calibri"/>
          <w:b w:val="0"/>
          <w:sz w:val="19"/>
        </w:rPr>
        <w:t>cleaned and standardized raw records, performed categorical encoding and binning (Age Brackets, Fare Classes, Family Groupings), and bulk-loaded records into MySQL.</w:t>
      </w:r>
    </w:p>
    <w:p>
      <w:pPr>
        <w:pStyle w:val="ListBullet"/>
        <w:spacing w:before="0" w:after="40" w:line="252" w:lineRule="auto"/>
      </w:pPr>
      <w:r>
        <w:rPr>
          <w:rFonts w:ascii="Calibri" w:hAnsi="Calibri"/>
          <w:b w:val="0"/>
          <w:sz w:val="19"/>
        </w:rPr>
        <w:t xml:space="preserve">Trained, tuned, and evaluated supervised decision tree classifiers in Python, </w:t>
      </w:r>
      <w:r>
        <w:rPr>
          <w:rFonts w:ascii="Calibri" w:hAnsi="Calibri"/>
          <w:b w:val="0"/>
          <w:sz w:val="19"/>
        </w:rPr>
        <w:t>serializing optimal model pipelines using Joblib for production inference.</w:t>
      </w:r>
    </w:p>
    <w:p>
      <w:pPr>
        <w:pStyle w:val="ListBullet"/>
        <w:spacing w:before="0" w:after="40" w:line="252" w:lineRule="auto"/>
      </w:pPr>
      <w:r>
        <w:rPr>
          <w:rFonts w:ascii="Calibri" w:hAnsi="Calibri"/>
          <w:b/>
          <w:sz w:val="19"/>
        </w:rPr>
        <w:t xml:space="preserve">Engineered a full-fledged, multi-page Streamlit web application </w:t>
      </w:r>
      <w:r>
        <w:rPr>
          <w:rFonts w:ascii="Calibri" w:hAnsi="Calibri"/>
          <w:b/>
          <w:sz w:val="19"/>
        </w:rPr>
        <w:t>providing non-technical stakeholders with a live playground to simulate input variables, inspect data distributions, and observe instant probability scorecards.</w:t>
      </w:r>
    </w:p>
    <w:p>
      <w:pPr>
        <w:pStyle w:val="ListBullet"/>
        <w:spacing w:before="0" w:after="40" w:line="252" w:lineRule="auto"/>
      </w:pPr>
      <w:r>
        <w:rPr>
          <w:rFonts w:ascii="Calibri" w:hAnsi="Calibri"/>
          <w:b w:val="0"/>
          <w:sz w:val="19"/>
        </w:rPr>
        <w:t xml:space="preserve">Integrated real-time database connectors to query live records, </w:t>
      </w:r>
      <w:r>
        <w:rPr>
          <w:rFonts w:ascii="Calibri" w:hAnsi="Calibri"/>
          <w:b w:val="0"/>
          <w:sz w:val="19"/>
        </w:rPr>
        <w:t>demonstrating full-lifecycle analytical capability from database schema design to production web dashboard deployment.</w:t>
      </w:r>
    </w:p>
    <w:p>
      <w:pPr>
        <w:spacing w:before="100" w:after="20"/>
      </w:pPr>
      <w:r>
        <w:rPr>
          <w:b/>
          <w:sz w:val="22"/>
        </w:rPr>
        <w:t>Financial Services &amp; Banking Customer Wealth Analytics</w:t>
        <w:br/>
      </w:r>
      <w:r>
        <w:rPr>
          <w:b/>
          <w:color w:val="1B365D"/>
          <w:sz w:val="19"/>
        </w:rPr>
        <w:t>Advanced PostgreSQL Data Analysis &amp; Customer Segmentation</w:t>
      </w:r>
    </w:p>
    <w:p>
      <w:pPr>
        <w:pStyle w:val="ListBullet"/>
        <w:spacing w:before="0" w:after="40" w:line="252" w:lineRule="auto"/>
      </w:pPr>
      <w:r>
        <w:rPr>
          <w:rFonts w:ascii="Calibri" w:hAnsi="Calibri"/>
          <w:b/>
          <w:sz w:val="19"/>
        </w:rPr>
        <w:t xml:space="preserve">Authored robust PostgreSQL scripts implementing conditional logic (CASE WHEN), COALESCE, and NULLIF </w:t>
      </w:r>
      <w:r>
        <w:rPr>
          <w:rFonts w:ascii="Calibri" w:hAnsi="Calibri"/>
          <w:b w:val="0"/>
          <w:sz w:val="19"/>
        </w:rPr>
        <w:t>across customer profiles, deposit/withdrawal logs, and account balances.</w:t>
      </w:r>
    </w:p>
    <w:p>
      <w:pPr>
        <w:pStyle w:val="ListBullet"/>
        <w:spacing w:before="0" w:after="40" w:line="252" w:lineRule="auto"/>
      </w:pPr>
      <w:r>
        <w:rPr>
          <w:rFonts w:ascii="Calibri" w:hAnsi="Calibri"/>
          <w:b/>
          <w:sz w:val="19"/>
        </w:rPr>
        <w:t xml:space="preserve">Segmented banking customer portfolios into granular wealth tiers </w:t>
      </w:r>
      <w:r>
        <w:rPr>
          <w:rFonts w:ascii="Calibri" w:hAnsi="Calibri"/>
          <w:b w:val="0"/>
          <w:sz w:val="19"/>
        </w:rPr>
        <w:t>(Premium &gt;= ₹100,000, Regular &gt;= ₹50,000, Low Balance) to monitor account activity velocity and liquidity risks.</w:t>
      </w:r>
    </w:p>
    <w:p>
      <w:pPr>
        <w:pStyle w:val="ListBullet"/>
        <w:spacing w:before="0" w:after="40" w:line="252" w:lineRule="auto"/>
      </w:pPr>
      <w:r>
        <w:rPr>
          <w:rFonts w:ascii="Calibri" w:hAnsi="Calibri"/>
          <w:b w:val="0"/>
          <w:sz w:val="19"/>
        </w:rPr>
        <w:t xml:space="preserve">Constructed analytical SQL views tracking monthly net cash flow (Deposits vs. Withdrawals) per branch, </w:t>
      </w:r>
      <w:r>
        <w:rPr>
          <w:rFonts w:ascii="Calibri" w:hAnsi="Calibri"/>
          <w:b w:val="0"/>
          <w:sz w:val="19"/>
        </w:rPr>
        <w:t>generating automated flags for accounts displaying high capital flight risk.</w:t>
      </w:r>
    </w:p>
    <w:p>
      <w:pPr>
        <w:spacing w:before="100" w:after="20"/>
      </w:pPr>
      <w:r>
        <w:rPr>
          <w:b/>
          <w:sz w:val="22"/>
        </w:rPr>
        <w:t>HR Workforce Demographics &amp; Compensation Benchmarking</w:t>
        <w:br/>
      </w:r>
      <w:r>
        <w:rPr>
          <w:b/>
          <w:color w:val="1B365D"/>
          <w:sz w:val="19"/>
        </w:rPr>
        <w:t>Power BI &amp; Advanced Excel Analytics Challenge</w:t>
      </w:r>
    </w:p>
    <w:p>
      <w:pPr>
        <w:pStyle w:val="ListBullet"/>
        <w:spacing w:before="0" w:after="40" w:line="252" w:lineRule="auto"/>
      </w:pPr>
      <w:r>
        <w:rPr>
          <w:rFonts w:ascii="Calibri" w:hAnsi="Calibri"/>
          <w:b w:val="0"/>
          <w:sz w:val="19"/>
        </w:rPr>
        <w:t xml:space="preserve">Analyzed cross-departmental HR records </w:t>
      </w:r>
      <w:r>
        <w:rPr>
          <w:rFonts w:ascii="Calibri" w:hAnsi="Calibri"/>
          <w:b w:val="0"/>
          <w:sz w:val="19"/>
        </w:rPr>
        <w:t>covering job grades, educational qualifications, compensation bands, gender diversity, and leave balances.</w:t>
      </w:r>
    </w:p>
    <w:p>
      <w:pPr>
        <w:pStyle w:val="ListBullet"/>
        <w:spacing w:before="0" w:after="40" w:line="252" w:lineRule="auto"/>
      </w:pPr>
      <w:r>
        <w:rPr>
          <w:rFonts w:ascii="Calibri" w:hAnsi="Calibri"/>
          <w:b/>
          <w:sz w:val="19"/>
        </w:rPr>
        <w:t xml:space="preserve">Formulated interactive Excel Pivot Tables and Power BI visualizations </w:t>
      </w:r>
      <w:r>
        <w:rPr>
          <w:rFonts w:ascii="Calibri" w:hAnsi="Calibri"/>
          <w:b w:val="0"/>
          <w:sz w:val="19"/>
        </w:rPr>
        <w:t>to benchmark internal pay equity, identifying discrepancies between qualification levels and salary bands.</w:t>
      </w:r>
    </w:p>
    <w:p>
      <w:pPr>
        <w:pStyle w:val="ListBullet"/>
        <w:spacing w:before="0" w:after="40" w:line="252" w:lineRule="auto"/>
      </w:pPr>
      <w:r>
        <w:rPr>
          <w:rFonts w:ascii="Calibri" w:hAnsi="Calibri"/>
          <w:b w:val="0"/>
          <w:sz w:val="19"/>
        </w:rPr>
        <w:t xml:space="preserve">Designed visual reports detailing leave liability distributions </w:t>
      </w:r>
      <w:r>
        <w:rPr>
          <w:rFonts w:ascii="Calibri" w:hAnsi="Calibri"/>
          <w:b/>
          <w:sz w:val="19"/>
        </w:rPr>
        <w:t>across senior management vs. operational staff to assist HR leadership in optimizing leave rollover policies.</w:t>
      </w:r>
    </w:p>
    <w:p>
      <w:pPr>
        <w:keepNext/>
        <w:spacing w:before="140" w:after="60"/>
        <w:pBdr>
          <w:bottom w:val="single" w:sz="6" w:space="2" w:color="1B365D"/>
        </w:pBdr>
      </w:pPr>
      <w:r>
        <w:rPr>
          <w:rFonts w:ascii="Calibri" w:hAnsi="Calibri"/>
          <w:b/>
          <w:color w:val="1B365D"/>
          <w:sz w:val="22"/>
        </w:rPr>
        <w:t>PROFESSIONAL EXPERIENCE</w:t>
      </w:r>
    </w:p>
    <w:p>
      <w:pPr>
        <w:spacing w:before="60" w:after="20"/>
      </w:pPr>
      <w:r>
        <w:rPr>
          <w:b/>
          <w:sz w:val="21"/>
        </w:rPr>
        <w:t>Data Science &amp; Analytics Intern</w:t>
        <w:br/>
      </w:r>
      <w:r>
        <w:rPr>
          <w:b/>
          <w:color w:val="1B365D"/>
          <w:sz w:val="19"/>
        </w:rPr>
        <w:t>Alpha IT Mohali (Jan 2026 – July 2026)</w:t>
      </w:r>
    </w:p>
    <w:p>
      <w:pPr>
        <w:pStyle w:val="ListBullet"/>
        <w:spacing w:before="0" w:after="40" w:line="252" w:lineRule="auto"/>
      </w:pPr>
      <w:r>
        <w:rPr>
          <w:rFonts w:ascii="Calibri" w:hAnsi="Calibri"/>
          <w:b/>
          <w:sz w:val="19"/>
        </w:rPr>
        <w:t xml:space="preserve">Spearheaded end-to-end data pipeline development: </w:t>
      </w:r>
      <w:r>
        <w:rPr>
          <w:rFonts w:ascii="Calibri" w:hAnsi="Calibri"/>
          <w:b w:val="0"/>
          <w:sz w:val="19"/>
        </w:rPr>
        <w:t>cleaned, imputed, and transformed heterogeneous raw datasets using Pandas and NumPy, boosting data completeness and reliability by 32%.</w:t>
      </w:r>
    </w:p>
    <w:p>
      <w:pPr>
        <w:pStyle w:val="ListBullet"/>
        <w:spacing w:before="0" w:after="40" w:line="252" w:lineRule="auto"/>
      </w:pPr>
      <w:r>
        <w:rPr>
          <w:rFonts w:ascii="Calibri" w:hAnsi="Calibri"/>
          <w:b w:val="0"/>
          <w:sz w:val="19"/>
        </w:rPr>
        <w:t xml:space="preserve">Formulated automated data validation checks and unit tests </w:t>
      </w:r>
      <w:r>
        <w:rPr>
          <w:rFonts w:ascii="Calibri" w:hAnsi="Calibri"/>
          <w:b w:val="0"/>
          <w:sz w:val="19"/>
        </w:rPr>
        <w:t>to detect distribution shifts, null spikes, and schema mismatches prior to analytics modeling.</w:t>
      </w:r>
    </w:p>
    <w:p>
      <w:pPr>
        <w:pStyle w:val="ListBullet"/>
        <w:spacing w:before="0" w:after="40" w:line="252" w:lineRule="auto"/>
      </w:pPr>
      <w:r>
        <w:rPr>
          <w:rFonts w:ascii="Calibri" w:hAnsi="Calibri"/>
          <w:b w:val="0"/>
          <w:sz w:val="19"/>
        </w:rPr>
        <w:t xml:space="preserve">Conducted exploratory data analysis, hypothesis testing, and statistical evaluations </w:t>
      </w:r>
      <w:r>
        <w:rPr>
          <w:rFonts w:ascii="Calibri" w:hAnsi="Calibri"/>
          <w:b w:val="0"/>
          <w:sz w:val="19"/>
        </w:rPr>
        <w:t>on client business data, summarizing key drivers for internal leadership reviews.</w:t>
      </w:r>
    </w:p>
    <w:p>
      <w:pPr>
        <w:pStyle w:val="ListBullet"/>
        <w:spacing w:before="0" w:after="40" w:line="252" w:lineRule="auto"/>
      </w:pPr>
      <w:r>
        <w:rPr>
          <w:rFonts w:ascii="Calibri" w:hAnsi="Calibri"/>
          <w:b/>
          <w:sz w:val="19"/>
        </w:rPr>
        <w:t xml:space="preserve">Trained and tuned machine learning classification models using Scikit-Learn, </w:t>
      </w:r>
      <w:r>
        <w:rPr>
          <w:rFonts w:ascii="Calibri" w:hAnsi="Calibri"/>
          <w:b/>
          <w:sz w:val="19"/>
        </w:rPr>
        <w:t>performing hyperparameter optimization and cross-validation to enhance predictive precision by 18%.</w:t>
      </w:r>
    </w:p>
    <w:p>
      <w:pPr>
        <w:pStyle w:val="ListBullet"/>
        <w:spacing w:before="0" w:after="40" w:line="252" w:lineRule="auto"/>
      </w:pPr>
      <w:r>
        <w:rPr>
          <w:rFonts w:ascii="Calibri" w:hAnsi="Calibri"/>
          <w:b/>
          <w:sz w:val="19"/>
        </w:rPr>
        <w:t xml:space="preserve">Built automated reporting dashboards </w:t>
      </w:r>
      <w:r>
        <w:rPr>
          <w:rFonts w:ascii="Calibri" w:hAnsi="Calibri"/>
          <w:b/>
          <w:sz w:val="19"/>
        </w:rPr>
        <w:t>that reduced manual weekly reporting time from 6 hours to 45 minutes.</w:t>
      </w:r>
    </w:p>
    <w:p>
      <w:pPr>
        <w:spacing w:before="80" w:after="20"/>
      </w:pPr>
      <w:r>
        <w:rPr>
          <w:b/>
          <w:sz w:val="21"/>
        </w:rPr>
        <w:t>Software Engineering Training | Frontend &amp; Web Systems</w:t>
        <w:br/>
      </w:r>
      <w:r>
        <w:rPr>
          <w:b/>
          <w:color w:val="1B365D"/>
          <w:sz w:val="19"/>
        </w:rPr>
        <w:t>Tech Training (June 2025 – August 2025)</w:t>
      </w:r>
    </w:p>
    <w:p>
      <w:pPr>
        <w:pStyle w:val="ListBullet"/>
        <w:spacing w:before="0" w:after="40" w:line="252" w:lineRule="auto"/>
      </w:pPr>
      <w:r>
        <w:rPr>
          <w:rFonts w:ascii="Calibri" w:hAnsi="Calibri"/>
          <w:b w:val="0"/>
          <w:sz w:val="19"/>
        </w:rPr>
        <w:t xml:space="preserve">Built dynamic web components and responsive dashboard user interfaces </w:t>
      </w:r>
      <w:r>
        <w:rPr>
          <w:rFonts w:ascii="Calibri" w:hAnsi="Calibri"/>
          <w:b w:val="0"/>
          <w:sz w:val="19"/>
        </w:rPr>
        <w:t>utilizing React.js, JavaScript (ES6+), and modern CSS frameworks.</w:t>
      </w:r>
    </w:p>
    <w:p>
      <w:pPr>
        <w:pStyle w:val="ListBullet"/>
        <w:spacing w:before="0" w:after="40" w:line="252" w:lineRule="auto"/>
      </w:pPr>
      <w:r>
        <w:rPr>
          <w:rFonts w:ascii="Calibri" w:hAnsi="Calibri"/>
          <w:b w:val="0"/>
          <w:sz w:val="19"/>
        </w:rPr>
        <w:t xml:space="preserve">Integrated frontend components with backend RESTful APIs </w:t>
      </w:r>
      <w:r>
        <w:rPr>
          <w:rFonts w:ascii="Calibri" w:hAnsi="Calibri"/>
          <w:b w:val="0"/>
          <w:sz w:val="19"/>
        </w:rPr>
        <w:t>to render real-time tabular data, interactive filter controls, and dynamic charts.</w:t>
      </w:r>
    </w:p>
    <w:p>
      <w:pPr>
        <w:keepNext/>
        <w:spacing w:before="140" w:after="60"/>
        <w:pBdr>
          <w:bottom w:val="single" w:sz="6" w:space="2" w:color="1B365D"/>
        </w:pBdr>
      </w:pPr>
      <w:r>
        <w:rPr>
          <w:rFonts w:ascii="Calibri" w:hAnsi="Calibri"/>
          <w:b/>
          <w:color w:val="1B365D"/>
          <w:sz w:val="22"/>
        </w:rPr>
        <w:t>TECHNICAL SKILLS MATRIX</w:t>
      </w:r>
    </w:p>
    <w:p>
      <w:pPr>
        <w:pStyle w:val="ListBullet"/>
        <w:spacing w:before="0" w:after="40" w:line="252" w:lineRule="auto"/>
      </w:pPr>
      <w:r>
        <w:rPr>
          <w:rFonts w:ascii="Calibri" w:hAnsi="Calibri"/>
          <w:b/>
          <w:sz w:val="19"/>
        </w:rPr>
        <w:t xml:space="preserve">BI &amp; Visual Analytics: </w:t>
      </w:r>
      <w:r>
        <w:rPr>
          <w:rFonts w:ascii="Calibri" w:hAnsi="Calibri"/>
          <w:b w:val="0"/>
          <w:sz w:val="19"/>
        </w:rPr>
        <w:t>Power BI (Power Query, DAX, Data Modeling, Star/Snowflake Schema, Power BI Service), Tableau Desktop (LOD Calculations, Interactive Visualizations, Action Filters), Advanced Excel (Pivot Tables, VLOOKUP/XLOOKUP, INDEX/MATCH, Conditional Formatting).</w:t>
      </w:r>
    </w:p>
    <w:p>
      <w:pPr>
        <w:pStyle w:val="ListBullet"/>
        <w:spacing w:before="0" w:after="40" w:line="252" w:lineRule="auto"/>
      </w:pPr>
      <w:r>
        <w:rPr>
          <w:rFonts w:ascii="Calibri" w:hAnsi="Calibri"/>
          <w:b/>
          <w:sz w:val="19"/>
        </w:rPr>
        <w:t xml:space="preserve">Relational Databases &amp; SQL: </w:t>
      </w:r>
      <w:r>
        <w:rPr>
          <w:rFonts w:ascii="Calibri" w:hAnsi="Calibri"/>
          <w:b w:val="0"/>
          <w:sz w:val="19"/>
        </w:rPr>
        <w:t>PostgreSQL, MySQL, Relational Database Design, CTEs, Window Functions (RANK, DENSE_RANK, ROW_NUMBER, LAG, LEAD), Subqueries, Stored Procedures, Views, Triggers, Query Optimization.</w:t>
      </w:r>
    </w:p>
    <w:p>
      <w:pPr>
        <w:pStyle w:val="ListBullet"/>
        <w:spacing w:before="0" w:after="40" w:line="252" w:lineRule="auto"/>
      </w:pPr>
      <w:r>
        <w:rPr>
          <w:rFonts w:ascii="Calibri" w:hAnsi="Calibri"/>
          <w:b/>
          <w:sz w:val="19"/>
        </w:rPr>
        <w:t xml:space="preserve">Data Science &amp; Programming: </w:t>
      </w:r>
      <w:r>
        <w:rPr>
          <w:rFonts w:ascii="Calibri" w:hAnsi="Calibri"/>
          <w:b w:val="0"/>
          <w:sz w:val="19"/>
        </w:rPr>
        <w:t>Python (Pandas, NumPy, Matplotlib, Seaborn, Scikit-Learn), Statistical Analysis, Hypothesis Testing, Predictive Modeling, Exploratory Data Analysis (EDA).</w:t>
      </w:r>
    </w:p>
    <w:p>
      <w:pPr>
        <w:pStyle w:val="ListBullet"/>
        <w:spacing w:before="0" w:after="40" w:line="252" w:lineRule="auto"/>
      </w:pPr>
      <w:r>
        <w:rPr>
          <w:rFonts w:ascii="Calibri" w:hAnsi="Calibri"/>
          <w:b/>
          <w:sz w:val="19"/>
        </w:rPr>
        <w:t xml:space="preserve">Application &amp; Dashboard Deployment: </w:t>
      </w:r>
      <w:r>
        <w:rPr>
          <w:rFonts w:ascii="Calibri" w:hAnsi="Calibri"/>
          <w:b w:val="0"/>
          <w:sz w:val="19"/>
        </w:rPr>
        <w:t>Streamlit, React.js, Next.js, TypeScript, FastAPI, Tailwind CSS, RESTful APIs, Git, GitHub, Vercel, Jupyter Notebook, VS Code.</w:t>
      </w:r>
    </w:p>
    <w:p>
      <w:pPr>
        <w:pStyle w:val="ListBullet"/>
        <w:spacing w:before="0" w:after="40" w:line="252" w:lineRule="auto"/>
      </w:pPr>
      <w:r>
        <w:rPr>
          <w:rFonts w:ascii="Calibri" w:hAnsi="Calibri"/>
          <w:b/>
          <w:sz w:val="19"/>
        </w:rPr>
        <w:t xml:space="preserve">Core Competencies: </w:t>
      </w:r>
      <w:r>
        <w:rPr>
          <w:rFonts w:ascii="Calibri" w:hAnsi="Calibri"/>
          <w:b w:val="0"/>
          <w:sz w:val="19"/>
        </w:rPr>
        <w:t>Business KPI Translation, Financial &amp; Operational Analysis, Stakeholder Communication, Churn Modeling, A/B Testing, Problem Solving.</w:t>
      </w:r>
    </w:p>
    <w:p>
      <w:pPr>
        <w:keepNext/>
        <w:spacing w:before="140" w:after="60"/>
        <w:pBdr>
          <w:bottom w:val="single" w:sz="6" w:space="2" w:color="1B365D"/>
        </w:pBdr>
      </w:pPr>
      <w:r>
        <w:rPr>
          <w:rFonts w:ascii="Calibri" w:hAnsi="Calibri"/>
          <w:b/>
          <w:color w:val="1B365D"/>
          <w:sz w:val="22"/>
        </w:rPr>
        <w:t>EDUCATION &amp; CERTIFICATIONS</w:t>
      </w:r>
    </w:p>
    <w:p>
      <w:pPr>
        <w:spacing w:before="60" w:after="40"/>
      </w:pPr>
      <w:r>
        <w:rPr>
          <w:b/>
          <w:sz w:val="20"/>
        </w:rPr>
        <w:t>Bachelor of Technology (B.Tech) – Computer Science and Engineering | CGPA: 7.58</w:t>
        <w:br/>
      </w:r>
      <w:r>
        <w:rPr>
          <w:color w:val="1B365D"/>
          <w:sz w:val="19"/>
        </w:rPr>
        <w:t>Baba Banda Singh Bahadur Engineering College (August 2022 – June 2026)</w:t>
      </w:r>
    </w:p>
    <w:p>
      <w:pPr>
        <w:pStyle w:val="ListBullet"/>
        <w:spacing w:before="0" w:after="40" w:line="252" w:lineRule="auto"/>
      </w:pPr>
      <w:r>
        <w:rPr>
          <w:rFonts w:ascii="Calibri" w:hAnsi="Calibri"/>
          <w:b/>
          <w:sz w:val="19"/>
        </w:rPr>
        <w:t xml:space="preserve">Advanced SQL for Data Analytics &amp; Business Intelligence </w:t>
      </w:r>
      <w:r>
        <w:rPr>
          <w:rFonts w:ascii="Calibri" w:hAnsi="Calibri"/>
          <w:b w:val="0"/>
          <w:sz w:val="19"/>
        </w:rPr>
        <w:t>– Mastery of PostgreSQL &amp; MySQL querying, CTEs, and Window Functions.</w:t>
      </w:r>
    </w:p>
    <w:p>
      <w:pPr>
        <w:pStyle w:val="ListBullet"/>
        <w:spacing w:before="0" w:after="40" w:line="252" w:lineRule="auto"/>
      </w:pPr>
      <w:r>
        <w:rPr>
          <w:rFonts w:ascii="Calibri" w:hAnsi="Calibri"/>
          <w:b/>
          <w:sz w:val="19"/>
        </w:rPr>
        <w:t xml:space="preserve">Power BI Desktop &amp; DAX for Enterprise Business Intelligence </w:t>
      </w:r>
      <w:r>
        <w:rPr>
          <w:rFonts w:ascii="Calibri" w:hAnsi="Calibri"/>
          <w:b w:val="0"/>
          <w:sz w:val="19"/>
        </w:rPr>
        <w:t>– End-to-end data modeling, ETL via Power Query, and dynamic measure engineering.</w:t>
      </w:r>
    </w:p>
    <w:p>
      <w:pPr>
        <w:pStyle w:val="ListBullet"/>
        <w:spacing w:before="0" w:after="40" w:line="252" w:lineRule="auto"/>
      </w:pPr>
      <w:r>
        <w:rPr>
          <w:rFonts w:ascii="Calibri" w:hAnsi="Calibri"/>
          <w:b/>
          <w:sz w:val="19"/>
        </w:rPr>
        <w:t xml:space="preserve">Exploratory Data Analysis &amp; Machine Learning with Python </w:t>
      </w:r>
      <w:r>
        <w:rPr>
          <w:rFonts w:ascii="Calibri" w:hAnsi="Calibri"/>
          <w:b w:val="0"/>
          <w:sz w:val="19"/>
        </w:rPr>
        <w:t>– Statistical data wrangling, visualization, and Scikit-Learn pipeline design.</w:t>
      </w:r>
    </w:p>
    <w:p>
      <w:pPr>
        <w:pStyle w:val="ListBullet"/>
        <w:spacing w:before="0" w:after="40" w:line="252" w:lineRule="auto"/>
      </w:pPr>
      <w:r>
        <w:rPr>
          <w:rFonts w:ascii="Calibri" w:hAnsi="Calibri"/>
          <w:b/>
          <w:sz w:val="19"/>
        </w:rPr>
        <w:t xml:space="preserve">Full-Stack Analytics Web Development with Streamlit &amp; React </w:t>
      </w:r>
      <w:r>
        <w:rPr>
          <w:rFonts w:ascii="Calibri" w:hAnsi="Calibri"/>
          <w:b w:val="0"/>
          <w:sz w:val="19"/>
        </w:rPr>
        <w:t>– Production deployment of analytical interfaces on Vercel.</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