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drawing>
          <wp:inline distT="0" distB="0" distL="0" distR="0">
            <wp:extent cx="4000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676275"/>
                    </a:xfrm>
                    <a:prstGeom prst="rect">
                      <a:avLst/>
                    </a:prstGeom>
                  </pic:spPr>
                </pic:pic>
              </a:graphicData>
            </a:graphic>
          </wp:inline>
        </w:drawing>
      </w:r>
    </w:p>
    <w:p>
      <w:pPr>
        <w:spacing w:after="500" w:before="0"/>
        <w:jc w:val="center"/>
      </w:pPr>
      <w:r>
        <w:rPr>
          <w:b/>
          <w:bCs/>
          <w:i w:val="false"/>
          <w:iCs w:val="false"/>
          <w:color w:val="5B5F7A"/>
          <w:sz w:val="24"/>
          <w:szCs w:val="24"/>
        </w:rPr>
        <w:t xml:space="preserve">A MINI-PROJECT REPORT ON</w:t>
      </w:r>
    </w:p>
    <w:p>
      <w:pPr>
        <w:pStyle w:val="Title"/>
      </w:pPr>
      <w:r>
        <w:t xml:space="preserve">Vendor360</w:t>
      </w:r>
    </w:p>
    <w:p>
      <w:pPr>
        <w:spacing w:after="500" w:before="0"/>
        <w:jc w:val="center"/>
      </w:pPr>
      <w:r>
        <w:rPr>
          <w:b w:val="false"/>
          <w:bCs w:val="false"/>
          <w:i/>
          <w:iCs/>
          <w:color w:val="5B5F7A"/>
          <w:sz w:val="26"/>
          <w:szCs w:val="26"/>
        </w:rPr>
        <w:t xml:space="preserve">AI-Powered Predictive Intelligence for India’s Local Vendors</w:t>
      </w:r>
    </w:p>
    <w:p>
      <w:pPr>
        <w:spacing w:after="100" w:before="0"/>
        <w:jc w:val="center"/>
      </w:pPr>
      <w:r>
        <w:rPr>
          <w:b w:val="false"/>
          <w:bCs w:val="false"/>
          <w:i w:val="false"/>
          <w:iCs w:val="false"/>
          <w:sz w:val="22"/>
          <w:szCs w:val="22"/>
        </w:rPr>
        <w:t xml:space="preserve">Submitted in partial fulfilment of the requirements for the degree of</w:t>
      </w:r>
    </w:p>
    <w:p>
      <w:pPr>
        <w:spacing w:after="500" w:before="0"/>
        <w:jc w:val="center"/>
      </w:pPr>
      <w:r>
        <w:rPr>
          <w:b/>
          <w:bCs/>
          <w:i w:val="false"/>
          <w:iCs w:val="false"/>
          <w:sz w:val="22"/>
          <w:szCs w:val="22"/>
        </w:rPr>
        <w:t xml:space="preserve">Bachelor of Engineering in Computer Science and Engineering</w:t>
      </w:r>
    </w:p>
    <w:p>
      <w:pPr>
        <w:spacing w:after="80" w:before="0"/>
        <w:jc w:val="center"/>
      </w:pPr>
      <w:r>
        <w:rPr>
          <w:b/>
          <w:bCs/>
          <w:i w:val="false"/>
          <w:iCs w:val="false"/>
          <w:sz w:val="22"/>
          <w:szCs w:val="22"/>
        </w:rPr>
        <w:t xml:space="preserve">Submitted by</w:t>
      </w:r>
    </w:p>
    <w:p>
      <w:pPr>
        <w:spacing w:after="60" w:before="0"/>
        <w:jc w:val="center"/>
      </w:pPr>
      <w:r>
        <w:rPr>
          <w:b w:val="false"/>
          <w:bCs w:val="false"/>
          <w:i w:val="false"/>
          <w:iCs w:val="false"/>
          <w:sz w:val="22"/>
          <w:szCs w:val="22"/>
        </w:rPr>
        <w:t xml:space="preserve">[Student Name 1]  —  [Roll No.]</w:t>
      </w:r>
    </w:p>
    <w:p>
      <w:pPr>
        <w:spacing w:after="60" w:before="0"/>
        <w:jc w:val="center"/>
      </w:pPr>
      <w:r>
        <w:rPr>
          <w:b w:val="false"/>
          <w:bCs w:val="false"/>
          <w:i w:val="false"/>
          <w:iCs w:val="false"/>
          <w:sz w:val="22"/>
          <w:szCs w:val="22"/>
        </w:rPr>
        <w:t xml:space="preserve">[Student Name 2]  —  [Roll No.]</w:t>
      </w:r>
    </w:p>
    <w:p>
      <w:pPr>
        <w:spacing w:after="60" w:before="0"/>
        <w:jc w:val="center"/>
      </w:pPr>
      <w:r>
        <w:rPr>
          <w:b w:val="false"/>
          <w:bCs w:val="false"/>
          <w:i w:val="false"/>
          <w:iCs w:val="false"/>
          <w:sz w:val="22"/>
          <w:szCs w:val="22"/>
        </w:rPr>
        <w:t xml:space="preserve">[Student Name 3]  —  [Roll No.]</w:t>
      </w:r>
    </w:p>
    <w:p>
      <w:pPr>
        <w:spacing w:after="60" w:before="0"/>
        <w:jc w:val="center"/>
      </w:pPr>
      <w:r>
        <w:rPr>
          <w:b w:val="false"/>
          <w:bCs w:val="false"/>
          <w:i w:val="false"/>
          <w:iCs w:val="false"/>
          <w:sz w:val="22"/>
          <w:szCs w:val="22"/>
        </w:rPr>
        <w:t xml:space="preserve">[Student Name 4]  —  [Roll No.]</w:t>
      </w:r>
    </w:p>
    <w:p>
      <w:pPr>
        <w:spacing w:after="60" w:before="300"/>
        <w:jc w:val="center"/>
      </w:pPr>
      <w:r>
        <w:rPr>
          <w:b w:val="false"/>
          <w:bCs w:val="false"/>
          <w:i w:val="false"/>
          <w:iCs w:val="false"/>
          <w:sz w:val="22"/>
          <w:szCs w:val="22"/>
        </w:rPr>
        <w:t xml:space="preserve">Under the guidance of</w:t>
      </w:r>
    </w:p>
    <w:p>
      <w:pPr>
        <w:spacing w:after="500" w:before="0"/>
        <w:jc w:val="center"/>
      </w:pPr>
      <w:r>
        <w:rPr>
          <w:b/>
          <w:bCs/>
          <w:i w:val="false"/>
          <w:iCs w:val="false"/>
          <w:sz w:val="22"/>
          <w:szCs w:val="22"/>
        </w:rPr>
        <w:t xml:space="preserve">[Guide Name]</w:t>
      </w:r>
    </w:p>
    <w:p>
      <w:pPr>
        <w:spacing w:after="20" w:before="0"/>
        <w:jc w:val="center"/>
      </w:pPr>
      <w:r>
        <w:rPr>
          <w:b w:val="false"/>
          <w:bCs w:val="false"/>
          <w:i w:val="false"/>
          <w:iCs w:val="false"/>
          <w:sz w:val="22"/>
          <w:szCs w:val="22"/>
        </w:rPr>
        <w:t xml:space="preserve">Department of Computer Science and Engineering</w:t>
      </w:r>
    </w:p>
    <w:p>
      <w:pPr>
        <w:spacing w:after="20" w:before="0"/>
        <w:jc w:val="center"/>
      </w:pPr>
      <w:r>
        <w:rPr>
          <w:b w:val="false"/>
          <w:bCs w:val="false"/>
          <w:i w:val="false"/>
          <w:iCs w:val="false"/>
          <w:sz w:val="22"/>
          <w:szCs w:val="22"/>
        </w:rPr>
        <w:t xml:space="preserve">School of Engineering</w:t>
      </w:r>
    </w:p>
    <w:p>
      <w:pPr>
        <w:spacing w:after="20" w:before="0"/>
        <w:jc w:val="center"/>
      </w:pPr>
      <w:r>
        <w:rPr>
          <w:b/>
          <w:bCs/>
          <w:i w:val="false"/>
          <w:iCs w:val="false"/>
          <w:sz w:val="22"/>
          <w:szCs w:val="22"/>
        </w:rPr>
        <w:t xml:space="preserve">Ajeenkya D Y Patil University, Pune</w:t>
      </w:r>
    </w:p>
    <w:p>
      <w:pPr>
        <w:spacing w:after="0" w:before="0"/>
        <w:jc w:val="center"/>
      </w:pPr>
      <w:r>
        <w:rPr>
          <w:b w:val="false"/>
          <w:bCs w:val="false"/>
          <w:i w:val="false"/>
          <w:iCs w:val="false"/>
          <w:color w:val="5B5F7A"/>
          <w:sz w:val="22"/>
          <w:szCs w:val="22"/>
        </w:rPr>
        <w:t xml:space="preserve">[Academic Year, e.g. 2026–27]</w:t>
      </w:r>
    </w:p>
    <w:p>
      <w:pPr>
        <w:pageBreakBefore/>
      </w:pPr>
    </w:p>
    <w:p>
      <w:pPr>
        <w:spacing w:after="400" w:before="0"/>
        <w:jc w:val="center"/>
      </w:pPr>
      <w:r>
        <w:rPr>
          <w:b/>
          <w:bCs/>
          <w:i w:val="false"/>
          <w:iCs w:val="false"/>
          <w:color w:val="1B1E3C"/>
          <w:sz w:val="32"/>
          <w:szCs w:val="32"/>
        </w:rPr>
        <w:t xml:space="preserve">CERTIFICATE</w:t>
      </w:r>
    </w:p>
    <w:p>
      <w:pPr>
        <w:spacing w:after="200" w:line="360"/>
        <w:jc w:val="both"/>
      </w:pPr>
      <w:r>
        <w:rPr>
          <w:b w:val="false"/>
          <w:bCs w:val="false"/>
          <w:i w:val="false"/>
          <w:iCs w:val="false"/>
        </w:rPr>
        <w:t xml:space="preserve">This is to certify that the mini-project report entitled “Vendor360: AI-Powered Predictive Intelligence for India’s Local Vendors” is a bonafide record of the work carried out by [Student Name 1] ([Roll No.]), [Student Name 2] ([Roll No.]), [Student Name 3] ([Roll No.]), and [Student Name 4] ([Roll No.]), in partial fulfilment of the requirements for the degree of Bachelor of Engineering in Computer Science and Engineering of Ajeenkya D Y Patil University, Pune, during the academic year [2026–27].</w:t>
      </w:r>
    </w:p>
    <w:p>
      <w:pPr>
        <w:spacing w:after="500" w:line="360"/>
        <w:jc w:val="both"/>
      </w:pPr>
      <w:r>
        <w:rPr>
          <w:b w:val="false"/>
          <w:bCs w:val="false"/>
          <w:i w:val="false"/>
          <w:iCs w:val="false"/>
        </w:rPr>
        <w:t xml:space="preserve">The work presented in this report has been carried out under our supervision and has not been submitted elsewhere, in full or in part, for the award of any other degree or diploma.</w:t>
      </w:r>
    </w:p>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Pr>
          <w:p>
            <w:pPr>
              <w:spacing w:after="600"/>
            </w:pPr>
          </w:p>
          <w:p>
            <w:pPr>
              <w:pBdr>
                <w:top w:val="single" w:color="999999" w:sz="4" w:space="4"/>
              </w:pBdr>
              <w:jc w:val="center"/>
            </w:pPr>
          </w:p>
          <w:p>
            <w:pPr>
              <w:spacing w:after="20" w:before="60"/>
              <w:jc w:val="center"/>
            </w:pPr>
            <w:r>
              <w:rPr>
                <w:b/>
                <w:bCs/>
                <w:i w:val="false"/>
                <w:iCs w:val="false"/>
                <w:sz w:val="22"/>
                <w:szCs w:val="22"/>
              </w:rPr>
              <w:t xml:space="preserve">[Guide Name]</w:t>
            </w:r>
          </w:p>
          <w:p>
            <w:pPr>
              <w:spacing w:after="0" w:before="0"/>
              <w:jc w:val="center"/>
            </w:pPr>
            <w:r>
              <w:rPr>
                <w:b w:val="false"/>
                <w:bCs w:val="false"/>
                <w:i w:val="false"/>
                <w:iCs w:val="false"/>
                <w:color w:val="5B5F7A"/>
                <w:sz w:val="20"/>
                <w:szCs w:val="20"/>
              </w:rPr>
              <w:t xml:space="preserve">Project Guide</w:t>
            </w:r>
          </w:p>
        </w:tc>
        <w:tc>
          <w:tcPr>
            <w:tcW w:type="dxa" w:w="4500"/>
            <w:tcBorders>
              <w:top w:val="none"/>
              <w:left w:val="none"/>
              <w:bottom w:val="none"/>
              <w:right w:val="none"/>
            </w:tcBorders>
          </w:tcPr>
          <w:p>
            <w:pPr>
              <w:spacing w:after="600"/>
            </w:pPr>
          </w:p>
          <w:p>
            <w:pPr>
              <w:pBdr>
                <w:top w:val="single" w:color="999999" w:sz="4" w:space="4"/>
              </w:pBdr>
              <w:jc w:val="center"/>
            </w:pPr>
          </w:p>
          <w:p>
            <w:pPr>
              <w:spacing w:after="20" w:before="60"/>
              <w:jc w:val="center"/>
            </w:pPr>
            <w:r>
              <w:rPr>
                <w:b/>
                <w:bCs/>
                <w:i w:val="false"/>
                <w:iCs w:val="false"/>
                <w:sz w:val="22"/>
                <w:szCs w:val="22"/>
              </w:rPr>
              <w:t xml:space="preserve">[HOD Name]</w:t>
            </w:r>
          </w:p>
          <w:p>
            <w:pPr>
              <w:spacing w:after="0" w:before="0"/>
              <w:jc w:val="center"/>
            </w:pPr>
            <w:r>
              <w:rPr>
                <w:b w:val="false"/>
                <w:bCs w:val="false"/>
                <w:i w:val="false"/>
                <w:iCs w:val="false"/>
                <w:color w:val="5B5F7A"/>
                <w:sz w:val="20"/>
                <w:szCs w:val="20"/>
              </w:rPr>
              <w:t xml:space="preserve">Head of Department</w:t>
            </w:r>
          </w:p>
        </w:tc>
      </w:tr>
    </w:tbl>
    <w:p>
      <w:pPr>
        <w:spacing w:after="500"/>
      </w:pPr>
    </w:p>
    <w:p>
      <w:pPr>
        <w:spacing w:after="20" w:before="400"/>
        <w:jc w:val="center"/>
      </w:pPr>
      <w:r>
        <w:rPr>
          <w:b w:val="false"/>
          <w:bCs w:val="false"/>
          <w:i w:val="false"/>
          <w:iCs w:val="false"/>
          <w:color w:val="5B5F7A"/>
          <w:sz w:val="20"/>
          <w:szCs w:val="20"/>
        </w:rPr>
        <w:t xml:space="preserve">External Examiner</w:t>
      </w:r>
    </w:p>
    <w:p>
      <w:pPr>
        <w:pBdr>
          <w:bottom w:val="single" w:color="999999" w:sz="4" w:space="4"/>
        </w:pBdr>
        <w:spacing w:before="100"/>
        <w:jc w:val="center"/>
      </w:pPr>
      <w:r>
        <w:t xml:space="preserve">                                                                  </w:t>
      </w:r>
    </w:p>
    <w:p>
      <w:pPr>
        <w:pageBreakBefore/>
      </w:pPr>
    </w:p>
    <w:p>
      <w:pPr>
        <w:spacing w:after="400" w:before="0"/>
        <w:jc w:val="center"/>
      </w:pPr>
      <w:r>
        <w:rPr>
          <w:b/>
          <w:bCs/>
          <w:i w:val="false"/>
          <w:iCs w:val="false"/>
          <w:color w:val="1B1E3C"/>
          <w:sz w:val="32"/>
          <w:szCs w:val="32"/>
        </w:rPr>
        <w:t xml:space="preserve">DECLARATION</w:t>
      </w:r>
    </w:p>
    <w:p>
      <w:pPr>
        <w:spacing w:after="200" w:line="360"/>
        <w:jc w:val="both"/>
      </w:pPr>
      <w:r>
        <w:rPr>
          <w:b w:val="false"/>
          <w:bCs w:val="false"/>
          <w:i w:val="false"/>
          <w:iCs w:val="false"/>
        </w:rPr>
        <w:t xml:space="preserve">We, the undersigned, hereby declare that the mini-project report entitled “Vendor360: AI-Powered Predictive Intelligence for India’s Local Vendors” is our own original work, carried out under the guidance of [Guide Name], Department of Computer Science and Engineering, Ajeenkya D Y Patil University, Pune. The work embodies the results of our own effort, and to the best of our knowledge, does not contain material previously published or written by another person, except where due reference has been made in the text.</w:t>
      </w:r>
    </w:p>
    <w:p>
      <w:pPr>
        <w:spacing w:after="500" w:line="360"/>
        <w:jc w:val="both"/>
      </w:pPr>
      <w:r>
        <w:rPr>
          <w:b w:val="false"/>
          <w:bCs w:val="false"/>
          <w:i w:val="false"/>
          <w:iCs w:val="false"/>
        </w:rPr>
        <w:t xml:space="preserve">We further declare that this report has not been submitted, in full or in part, for the award of any other degree, diploma, or similar title of this or any other institution.</w:t>
      </w:r>
    </w:p>
    <w:p>
      <w:pPr>
        <w:spacing w:after="140"/>
        <w:jc w:val="left"/>
      </w:pPr>
      <w:r>
        <w:t xml:space="preserve">[Student Name 1]  —  [Roll No.]</w:t>
      </w:r>
    </w:p>
    <w:p>
      <w:pPr>
        <w:spacing w:after="140"/>
        <w:jc w:val="left"/>
      </w:pPr>
      <w:r>
        <w:t xml:space="preserve">[Student Name 2]  —  [Roll No.]</w:t>
      </w:r>
    </w:p>
    <w:p>
      <w:pPr>
        <w:spacing w:after="140"/>
        <w:jc w:val="left"/>
      </w:pPr>
      <w:r>
        <w:t xml:space="preserve">[Student Name 3]  —  [Roll No.]</w:t>
      </w:r>
    </w:p>
    <w:p>
      <w:pPr>
        <w:spacing w:after="140"/>
        <w:jc w:val="left"/>
      </w:pPr>
      <w:r>
        <w:t xml:space="preserve">[Student Name 4]  —  [Roll No.]</w:t>
      </w:r>
    </w:p>
    <w:p>
      <w:pPr>
        <w:spacing w:after="300"/>
      </w:pPr>
    </w:p>
    <w:p>
      <w:r>
        <w:t xml:space="preserve">Place: Pune</w:t>
      </w:r>
    </w:p>
    <w:p>
      <w:pPr>
        <w:spacing w:after="0"/>
      </w:pPr>
      <w:r>
        <w:t xml:space="preserve">Date:  [Date]</w:t>
      </w:r>
    </w:p>
    <w:p>
      <w:pPr>
        <w:pageBreakBefore/>
      </w:pPr>
    </w:p>
    <w:p>
      <w:pPr>
        <w:spacing w:after="400" w:before="0"/>
        <w:jc w:val="center"/>
      </w:pPr>
      <w:r>
        <w:rPr>
          <w:b/>
          <w:bCs/>
          <w:i w:val="false"/>
          <w:iCs w:val="false"/>
          <w:color w:val="1B1E3C"/>
          <w:sz w:val="32"/>
          <w:szCs w:val="32"/>
        </w:rPr>
        <w:t xml:space="preserve">ACKNOWLEDGEMENT</w:t>
      </w:r>
    </w:p>
    <w:p>
      <w:pPr>
        <w:spacing w:after="200" w:line="360"/>
        <w:jc w:val="both"/>
      </w:pPr>
      <w:r>
        <w:rPr>
          <w:b w:val="false"/>
          <w:bCs w:val="false"/>
          <w:i w:val="false"/>
          <w:iCs w:val="false"/>
        </w:rPr>
        <w:t xml:space="preserve">We would like to express our sincere gratitude to our guide, [Guide Name], for the continuous support, patient guidance, and valuable feedback provided throughout the course of this mini-project. Their insights were instrumental in shaping both the technical direction and the practical framing of this work.</w:t>
      </w:r>
    </w:p>
    <w:p>
      <w:pPr>
        <w:spacing w:after="200" w:line="360"/>
        <w:jc w:val="both"/>
      </w:pPr>
      <w:r>
        <w:rPr>
          <w:b w:val="false"/>
          <w:bCs w:val="false"/>
          <w:i w:val="false"/>
          <w:iCs w:val="false"/>
        </w:rPr>
        <w:t xml:space="preserve">We are equally grateful to [HOD Name], Head of the Department of Computer Science and Engineering, and to the faculty of the School of Engineering, Ajeenkya D Y Patil University, Pune, for providing the resources, infrastructure, and encouragement necessary to carry out this project.</w:t>
      </w:r>
    </w:p>
    <w:p>
      <w:pPr>
        <w:spacing w:after="400" w:line="360"/>
        <w:jc w:val="both"/>
      </w:pPr>
      <w:r>
        <w:rPr>
          <w:b w:val="false"/>
          <w:bCs w:val="false"/>
          <w:i w:val="false"/>
          <w:iCs w:val="false"/>
        </w:rPr>
        <w:t xml:space="preserve">Finally, we thank our families and peers for their constant support and encouragement, and everyone who, directly or indirectly, contributed to the successful completion of this mini-project.</w:t>
      </w:r>
    </w:p>
    <w:p>
      <w:pPr>
        <w:spacing w:after="0"/>
        <w:jc w:val="right"/>
      </w:pPr>
      <w:r>
        <w:rPr>
          <w:i/>
          <w:iCs/>
        </w:rPr>
        <w:t xml:space="preserve">— The Project Team</w:t>
      </w:r>
    </w:p>
    <w:p>
      <w:pPr>
        <w:pageBreakBefore/>
      </w:pPr>
    </w:p>
    <w:p>
      <w:pPr>
        <w:spacing w:after="400" w:before="0"/>
        <w:jc w:val="center"/>
      </w:pPr>
      <w:r>
        <w:rPr>
          <w:b/>
          <w:bCs/>
          <w:i w:val="false"/>
          <w:iCs w:val="false"/>
          <w:color w:val="1B1E3C"/>
          <w:sz w:val="32"/>
          <w:szCs w:val="32"/>
        </w:rPr>
        <w:t xml:space="preserve">ABSTRACT</w:t>
      </w:r>
    </w:p>
    <w:p>
      <w:pPr>
        <w:spacing w:after="200" w:line="360"/>
        <w:jc w:val="both"/>
      </w:pPr>
      <w:r>
        <w:rPr>
          <w:b w:val="false"/>
          <w:bCs w:val="false"/>
          <w:i w:val="false"/>
          <w:iCs w:val="false"/>
        </w:rPr>
        <w:t xml:space="preserve">India’s more than 12 million kirana and neighbourhood stores generate close to 90% of the country’s FMCG sales, yet the overwhelming majority still manage inventory through memory, notebooks, and guesswork. This leaves them exposed to two compounding problems: avoidable stockouts and waste caused by purely reactive restocking, and near-total exclusion from formal credit, since informal operations produce no verifiable financial record. Vendor360 addresses both problems as a single, connected system. A FastAPI backend ingests voice-transcribed sales logs, OCR-scanned wholesale receipts, and external signals such as weather and regional festival calendars, and feeds them into a machine-learning layer that produces context-aware demand forecasts and dynamic, perishability-aware safety-stock recommendations. A companion Flutter mobile application makes this intelligence usable at the counter: vendors log stock by speaking in their own language, scan receipts with the camera instead of typing them in, and continue working seamlessly offline, with changes synchronising automatically once connectivity returns. Consistent use of the platform generates a vendor “Health Score” — a transparent, behaviour-based signal of inventory discipline and turnover that can support micro-credit assessment for otherwise unbanked vendors. This report documents the motivation, related work, design, methodology, and expected outcomes of Vendor360, and outlines a future roadmap that includes a complementary, logistics-free B2B mediation model explored alongside the core platform.</w:t>
      </w:r>
    </w:p>
    <w:p>
      <w:pPr>
        <w:spacing w:after="200"/>
      </w:pPr>
    </w:p>
    <w:p>
      <w:pPr>
        <w:spacing w:after="0"/>
      </w:pPr>
      <w:r>
        <w:rPr>
          <w:b/>
          <w:bCs/>
        </w:rPr>
        <w:t xml:space="preserve">Keywords: </w:t>
      </w:r>
      <w:r>
        <w:rPr>
          <w:i/>
          <w:iCs/>
        </w:rPr>
        <w:t xml:space="preserve">predictive inventory management; demand forecasting; FastAPI; Flutter; vernacular voice interfaces; offline-first mobile architecture; alternative credit scoring.</w:t>
      </w:r>
    </w:p>
    <w:p>
      <w:pPr>
        <w:pageBreakBefore/>
      </w:pPr>
    </w:p>
    <w:p>
      <w:pPr>
        <w:pStyle w:val="Heading1"/>
      </w:pPr>
      <w:r>
        <w:t xml:space="preserve">Table of Contents</w:t>
      </w:r>
    </w:p>
    <w:p>
      <w:pPr>
        <w:spacing w:after="200"/>
      </w:pPr>
      <w:r>
        <w:rPr>
          <w:i/>
          <w:iCs/>
          <w:color w:val="5B5F7A"/>
          <w:sz w:val="18"/>
          <w:szCs w:val="18"/>
        </w:rPr>
        <w:t xml:space="preserve">Right-click below and choose “Update Field” (or press F9) after opening this document in Word, to populate page numbers.</w:t>
      </w: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7"/>
          <w:headerReference w:type="first" r:id="rId8"/>
          <w:footerReference w:type="default" r:id="rId9"/>
          <w:footerReference w:type="first" r:id="rId10"/>
          <w:pgSz w:w="11908" w:h="16833" w:orient="portrait"/>
          <w:pgMar w:top="1440" w:right="1440" w:bottom="1440" w:left="1800" w:header="708" w:footer="708" w:gutter="0"/>
          <w:pgNumType/>
          <w:titlePg/>
          <w:docGrid w:linePitch="360"/>
        </w:sectPr>
      </w:pPr>
    </w:p>
    <w:p>
      <w:pPr>
        <w:pStyle w:val="Heading1"/>
      </w:pPr>
      <w:r>
        <w:t xml:space="preserve">1. Introduction</w:t>
      </w:r>
    </w:p>
    <w:p>
      <w:pPr>
        <w:pStyle w:val="Heading2"/>
      </w:pPr>
      <w:r>
        <w:t xml:space="preserve">1.1 Background</w:t>
      </w:r>
    </w:p>
    <w:p>
      <w:pPr>
        <w:spacing w:after="200" w:line="360"/>
        <w:jc w:val="both"/>
      </w:pPr>
      <w:r>
        <w:rPr>
          <w:b w:val="false"/>
          <w:bCs w:val="false"/>
          <w:i w:val="false"/>
          <w:iCs w:val="false"/>
        </w:rPr>
        <w:t xml:space="preserve">Small, independently-run kirana stores are the dominant retail format in India. Estimates place their number above 12 million, and small local grocers as a group hold roughly 74% share of India’s retail market by channel, with just over 90% of FMCG sales flowing through them. This informal network is, by volume, the largest micro-retail system in the world — yet it runs almost entirely without digital tooling for the one decision that determines a vendor’s daily profitability: how much of what to stock, and when.</w:t>
      </w:r>
    </w:p>
    <w:p>
      <w:pPr>
        <w:spacing w:after="200" w:line="360"/>
        <w:jc w:val="both"/>
      </w:pPr>
      <w:r>
        <w:rPr>
          <w:b w:val="false"/>
          <w:bCs w:val="false"/>
          <w:i w:val="false"/>
          <w:iCs w:val="false"/>
        </w:rPr>
        <w:t xml:space="preserve">Existing “khata” and ledger apps such as Khatabook and OkCredit have made real progress digitising credit tracking and basic stock counts, in 10 or more Indian languages, and full accounting suites such as Vyapar add GST-compliant billing on top. What none of them do is look forward: none forecast tomorrow’s demand from real-world external signals, and none convert a vendor’s day-to-day operating discipline into a verifiable footprint that a bank or NBFC could act on.</w:t>
      </w:r>
    </w:p>
    <w:p>
      <w:pPr>
        <w:pStyle w:val="Heading2"/>
      </w:pPr>
      <w:r>
        <w:t xml:space="preserve">1.2 Motivation</w:t>
      </w:r>
    </w:p>
    <w:p>
      <w:pPr>
        <w:spacing w:after="200" w:line="360"/>
        <w:jc w:val="both"/>
      </w:pPr>
      <w:r>
        <w:rPr>
          <w:b w:val="false"/>
          <w:bCs w:val="false"/>
          <w:i w:val="false"/>
          <w:iCs w:val="false"/>
        </w:rPr>
        <w:t xml:space="preserve">Two observations motivate Vendor360. First, demand-forecasting techniques that are standard in enterprise retail — regression and time-series models such as ARIMA, Prophet, and LSTM networks, applied to sales, weather, and event data — have not meaningfully reached India’s micro-retail sector, even though the underlying signals (local weather, festival calendars, sales velocity) are freely available. Second, an estimated 85–90% of India’s roughly 6.3 crore MSMEs still lack access to formal credit, in large part because informal vendors cannot produce the kind of verifiable operating history that lenders require — even when that vendor’s business is, in practice, healthy and consistent.</w:t>
      </w:r>
    </w:p>
    <w:p>
      <w:pPr>
        <w:spacing w:after="200" w:line="360"/>
        <w:jc w:val="both"/>
      </w:pPr>
      <w:r>
        <w:rPr>
          <w:b w:val="false"/>
          <w:bCs w:val="false"/>
          <w:i w:val="false"/>
          <w:iCs w:val="false"/>
        </w:rPr>
        <w:t xml:space="preserve">Vendor360 is built at the intersection of these two gaps: a predictive operations layer for the vendor, and a trust layer for the lender, delivered through a single, voice-first, offline-first mobile experience.</w:t>
      </w:r>
    </w:p>
    <w:p>
      <w:pPr>
        <w:pStyle w:val="Heading2"/>
      </w:pPr>
      <w:r>
        <w:t xml:space="preserve">1.3 Scope of the Project</w:t>
      </w:r>
    </w:p>
    <w:p>
      <w:pPr>
        <w:spacing w:after="200" w:line="360"/>
        <w:jc w:val="both"/>
      </w:pPr>
      <w:r>
        <w:rPr>
          <w:b w:val="false"/>
          <w:bCs w:val="false"/>
          <w:i w:val="false"/>
          <w:iCs w:val="false"/>
        </w:rPr>
        <w:t xml:space="preserve">This mini-project covers the design and prototype implementation of: (a) a FastAPI backend that ingests sales, receipt, and external-signal data and produces demand forecasts and dynamic safety-stock recommendations; (b) a Flutter mobile application through which vendors log stock by voice or photo, receive restock alerts, and work fully offline; and (c) a first-cut “Health Score” model derived from inventory and turnover behaviour. Actual disbursal of credit, payment processing, and physical logistics or delivery are explicitly outside the scope of this project — Vendor360 produces the signal; partner banks, NBFCs, and the vendor’s own existing suppliers act on it.</w:t>
      </w:r>
    </w:p>
    <w:p>
      <w:pPr>
        <w:pStyle w:val="Heading1"/>
        <w:pageBreakBefore/>
      </w:pPr>
      <w:r>
        <w:t xml:space="preserve">2. Literature Review</w:t>
      </w:r>
    </w:p>
    <w:p>
      <w:pPr>
        <w:pStyle w:val="Heading2"/>
      </w:pPr>
      <w:r>
        <w:t xml:space="preserve">2.1 Digital Ledger and Accounting Tools</w:t>
      </w:r>
    </w:p>
    <w:p>
      <w:pPr>
        <w:spacing w:after="200" w:line="360"/>
        <w:jc w:val="both"/>
      </w:pPr>
      <w:r>
        <w:rPr>
          <w:b w:val="false"/>
          <w:bCs w:val="false"/>
          <w:i w:val="false"/>
          <w:iCs w:val="false"/>
        </w:rPr>
        <w:t xml:space="preserve">Khatabook and OkCredit are the two most widely used digital-ledger apps among Indian micro-merchants. Both let a shopkeeper record credit given to customers, send payment reminders over SMS or WhatsApp, and view basic reports, in the vendor’s own language. Khatabook additionally offers simple stock tracking with low-stock alerts. Vyapar goes further, adding GST-compliant invoicing and fuller inventory and accounting features, but this comes at the cost of complexity and a paid subscription tier — it is built for a business that already needs formal accounting, not for a 90-second end-of-day stock update. Across all three, the common thread is that they digitise a record of the past; none of them predict what is likely to sell next.</w:t>
      </w:r>
    </w:p>
    <w:p>
      <w:pPr>
        <w:pStyle w:val="Heading2"/>
      </w:pPr>
      <w:r>
        <w:t xml:space="preserve">2.2 Demand Forecasting in Retail</w:t>
      </w:r>
    </w:p>
    <w:p>
      <w:pPr>
        <w:spacing w:after="200" w:line="360"/>
        <w:jc w:val="both"/>
      </w:pPr>
      <w:r>
        <w:rPr>
          <w:b w:val="false"/>
          <w:bCs w:val="false"/>
          <w:i w:val="false"/>
          <w:iCs w:val="false"/>
        </w:rPr>
        <w:t xml:space="preserve">Machine-learning-based demand forecasting is well established in large-format and enterprise retail. Time-series and regression methods — ARIMA, gradient boosting, and, increasingly, Prophet and LSTM networks — are used to translate historical sales together with external variables such as weather and calendar events into SKU-level demand predictions, materially reducing stockouts and overstock. The global market for AI in inventory management reflects this trend, having grown from roughly $7.4 billion in 2024 to $9.6 billion in 2025, with projections reaching approximately $27.2 billion by 2029. Despite this growth, the literature and available tooling remain overwhelmingly oriented toward organised retail chains with a data science function; adaptation for a single-owner kirana store with no analyst on staff is largely unaddressed.</w:t>
      </w:r>
    </w:p>
    <w:p>
      <w:pPr>
        <w:pStyle w:val="Heading2"/>
      </w:pPr>
      <w:r>
        <w:t xml:space="preserve">2.3 Digital Public Infrastructure for Indian Commerce</w:t>
      </w:r>
    </w:p>
    <w:p>
      <w:pPr>
        <w:spacing w:after="200" w:line="360"/>
        <w:jc w:val="both"/>
      </w:pPr>
      <w:r>
        <w:rPr>
          <w:b w:val="false"/>
          <w:bCs w:val="false"/>
          <w:i w:val="false"/>
          <w:iCs w:val="false"/>
        </w:rPr>
        <w:t xml:space="preserve">Two government-backed initiatives are directly relevant. Bhashini (“BHASHa INterface for India”) provides open, freely usable APIs for speech-to-text, text-to-speech, translation, and transliteration across all 22 constitutionally recognised Indian languages, making genuinely vernacular, voice-first interfaces practical to build without a vendor-specific language model. ONDC (Open Network for Digital Commerce), a DPIIT-backed open-protocol network launched in 2022, has expanded from consumer food and grocery ordering into business-to-business wholesale trade, demonstrating that an open, interoperable “network mediator” model can operate at national scale for exactly the kind of small sellers Vendor360 targets. Both are treated in this project as infrastructure to build on rather than as competitors.</w:t>
      </w:r>
    </w:p>
    <w:p>
      <w:pPr>
        <w:pStyle w:val="Heading2"/>
      </w:pPr>
      <w:r>
        <w:t xml:space="preserve">2.4 Summary of the Identified Gap</w:t>
      </w:r>
    </w:p>
    <w:p>
      <w:pPr>
        <w:spacing w:after="200" w:line="360"/>
        <w:jc w:val="both"/>
      </w:pPr>
      <w:r>
        <w:rPr>
          <w:b w:val="false"/>
          <w:bCs w:val="false"/>
          <w:i w:val="false"/>
          <w:iCs w:val="false"/>
        </w:rPr>
        <w:t xml:space="preserve">No reviewed tool combines (i) predictive, externally-informed demand forecasting, (ii) a genuinely vernacular, voice-first data-entry workflow, and (iii) a mechanism that converts consistent operating behaviour into a verifiable, lender-facing signal — all inside an offline-tolerant mobile experience suited to a busy market stall. This is the gap Vendor360 is designed to fill.</w:t>
      </w:r>
    </w:p>
    <w:p>
      <w:pPr>
        <w:pStyle w:val="Heading1"/>
        <w:pageBreakBefore/>
      </w:pPr>
      <w:r>
        <w:t xml:space="preserve">3. Research Gap &amp; Motivation</w:t>
      </w:r>
    </w:p>
    <w:p>
      <w:pPr>
        <w:pStyle w:val="Heading2"/>
      </w:pPr>
      <w:r>
        <w:t xml:space="preserve">3.1 Retrospective, Not Predictive</w:t>
      </w:r>
    </w:p>
    <w:p>
      <w:pPr>
        <w:spacing w:after="200" w:line="360"/>
        <w:jc w:val="both"/>
      </w:pPr>
      <w:r>
        <w:rPr>
          <w:b w:val="false"/>
          <w:bCs w:val="false"/>
          <w:i w:val="false"/>
          <w:iCs w:val="false"/>
        </w:rPr>
        <w:t xml:space="preserve">Ledger apps record what already happened. None of the reviewed tools forecast tomorrow’s demand from external, real-world signals such as weather or regional festivals, even though such signals are freely available and demonstrably useful in enterprise retail forecasting.</w:t>
      </w:r>
    </w:p>
    <w:p>
      <w:pPr>
        <w:pStyle w:val="Heading2"/>
      </w:pPr>
      <w:r>
        <w:t xml:space="preserve">3.2 No Vernacular, Voice-First Interaction</w:t>
      </w:r>
    </w:p>
    <w:p>
      <w:pPr>
        <w:spacing w:after="200" w:line="360"/>
        <w:jc w:val="both"/>
      </w:pPr>
      <w:r>
        <w:rPr>
          <w:b w:val="false"/>
          <w:bCs w:val="false"/>
          <w:i w:val="false"/>
          <w:iCs w:val="false"/>
        </w:rPr>
        <w:t xml:space="preserve">Typing item-wise stock counts, in English or transliterated script, is a genuine barrier for vendors with limited digital literacy or typing speed — precisely the population most in need of better tooling.</w:t>
      </w:r>
    </w:p>
    <w:p>
      <w:pPr>
        <w:pStyle w:val="Heading2"/>
      </w:pPr>
      <w:r>
        <w:t xml:space="preserve">3.3 Static Reorder Points</w:t>
      </w:r>
    </w:p>
    <w:p>
      <w:pPr>
        <w:spacing w:after="200" w:line="360"/>
        <w:jc w:val="both"/>
      </w:pPr>
      <w:r>
        <w:rPr>
          <w:b w:val="false"/>
          <w:bCs w:val="false"/>
          <w:i w:val="false"/>
          <w:iCs w:val="false"/>
        </w:rPr>
        <w:t xml:space="preserve">Where inventory logic exists at all, it typically relies on fixed reorder thresholds that ignore perishability, real-time sales velocity, and supplier lead time, producing either avoidable waste on fast-perishing categories or avoidable stockouts on fast-moving ones.</w:t>
      </w:r>
    </w:p>
    <w:p>
      <w:pPr>
        <w:pStyle w:val="Heading2"/>
      </w:pPr>
      <w:r>
        <w:t xml:space="preserve">3.4 Exclusion From Formal Credit</w:t>
      </w:r>
    </w:p>
    <w:p>
      <w:pPr>
        <w:spacing w:after="200" w:line="360"/>
        <w:jc w:val="both"/>
      </w:pPr>
      <w:r>
        <w:rPr>
          <w:b w:val="false"/>
          <w:bCs w:val="false"/>
          <w:i w:val="false"/>
          <w:iCs w:val="false"/>
        </w:rPr>
        <w:t xml:space="preserve">Only an estimated 10–15% of India’s MSMEs have access to formal credit, and roughly 40% of MSMEs operate entirely informally, with no documented sourcing or repayment history a lender can evaluate. A vendor can be reliable in practice and still be invisible on paper.</w:t>
      </w:r>
    </w:p>
    <w:p>
      <w:pPr>
        <w:pStyle w:val="Heading2"/>
      </w:pPr>
      <w:r>
        <w:t xml:space="preserve">3.5 Motivation</w:t>
      </w:r>
    </w:p>
    <w:p>
      <w:pPr>
        <w:spacing w:after="200" w:line="360"/>
        <w:jc w:val="both"/>
      </w:pPr>
      <w:r>
        <w:rPr>
          <w:b w:val="false"/>
          <w:bCs w:val="false"/>
          <w:i w:val="false"/>
          <w:iCs w:val="false"/>
        </w:rPr>
        <w:t xml:space="preserve">Vendor360 is motivated by the observation that solving the first three gaps as a byproduct solves the fourth: a system that captures consistent, low-friction, day-to-day inventory data naturally produces the operating history that formal lenders currently cannot see.</w:t>
      </w:r>
    </w:p>
    <w:p>
      <w:pPr>
        <w:pStyle w:val="Heading1"/>
        <w:pageBreakBefore/>
      </w:pPr>
      <w:r>
        <w:t xml:space="preserve">4. Research Objectives</w:t>
      </w:r>
    </w:p>
    <w:p>
      <w:pPr>
        <w:spacing w:after="200" w:line="360"/>
        <w:jc w:val="both"/>
      </w:pPr>
      <w:r>
        <w:rPr>
          <w:b w:val="false"/>
          <w:bCs w:val="false"/>
          <w:i w:val="false"/>
          <w:iCs w:val="false"/>
        </w:rPr>
        <w:t xml:space="preserve">The project is organised around six concrete objectives:</w:t>
      </w:r>
    </w:p>
    <w:p>
      <w:pPr>
        <w:pStyle w:val="ListParagraph"/>
        <w:numPr>
          <w:ilvl w:val="0"/>
          <w:numId w:val="2"/>
        </w:numPr>
        <w:spacing w:after="140" w:line="320"/>
      </w:pPr>
      <w:r>
        <w:t xml:space="preserve">Design a context-aware demand forecasting engine that ingests external signals — local weather and regional festival calendars — alongside historical sales, so the system can anticipate demand spikes rather than merely react to them.</w:t>
      </w:r>
    </w:p>
    <w:p>
      <w:pPr>
        <w:pStyle w:val="ListParagraph"/>
        <w:numPr>
          <w:ilvl w:val="0"/>
          <w:numId w:val="2"/>
        </w:numPr>
        <w:spacing w:after="140" w:line="320"/>
      </w:pPr>
      <w:r>
        <w:t xml:space="preserve">Implement dynamic, machine-learning-driven safety-stock modelling that adapts reorder thresholds to real-time sales velocity, supplier lead time, and the specific shelf life of each perishable category.</w:t>
      </w:r>
    </w:p>
    <w:p>
      <w:pPr>
        <w:pStyle w:val="ListParagraph"/>
        <w:numPr>
          <w:ilvl w:val="0"/>
          <w:numId w:val="2"/>
        </w:numPr>
        <w:spacing w:after="140" w:line="320"/>
      </w:pPr>
      <w:r>
        <w:t xml:space="preserve">Build a zero-friction, vernacular voice-to-inventory logging workflow, using the Bhashini speech-to-text API, so a vendor can update stock by speaking a sentence such as “sold 20 milk packets and 5 kg rice today” in Hindi, Marathi, or another supported language.</w:t>
      </w:r>
    </w:p>
    <w:p>
      <w:pPr>
        <w:pStyle w:val="ListParagraph"/>
        <w:numPr>
          <w:ilvl w:val="0"/>
          <w:numId w:val="2"/>
        </w:numPr>
        <w:spacing w:after="140" w:line="320"/>
      </w:pPr>
      <w:r>
        <w:t xml:space="preserve">Enable OCR-based scanning of wholesale receipts and batch barcodes to automatically log incoming stock, estimate standard shelf life, and set up automated sell-by countdowns.</w:t>
      </w:r>
    </w:p>
    <w:p>
      <w:pPr>
        <w:pStyle w:val="ListParagraph"/>
        <w:numPr>
          <w:ilvl w:val="0"/>
          <w:numId w:val="2"/>
        </w:numPr>
        <w:spacing w:after="140" w:line="320"/>
      </w:pPr>
      <w:r>
        <w:t xml:space="preserve">Deliver an offline-first mobile architecture that caches daily activity locally and synchronises automatically the moment a stable connection is available, so market-area connectivity issues never cause data loss.</w:t>
      </w:r>
    </w:p>
    <w:p>
      <w:pPr>
        <w:pStyle w:val="ListParagraph"/>
        <w:numPr>
          <w:ilvl w:val="0"/>
          <w:numId w:val="2"/>
        </w:numPr>
        <w:spacing w:after="140" w:line="320"/>
      </w:pPr>
      <w:r>
        <w:t xml:space="preserve">Generate a verifiable vendor “Health Score” from consistent sales, inventory turnover, and waste behaviour, giving otherwise unbanked vendors a financial footprint usable for micro-credit assessment.</w:t>
      </w:r>
    </w:p>
    <w:p>
      <w:pPr>
        <w:pStyle w:val="Heading1"/>
        <w:pageBreakBefore/>
      </w:pPr>
      <w:r>
        <w:t xml:space="preserve">5. System Analysis &amp; Methodology</w:t>
      </w:r>
    </w:p>
    <w:p>
      <w:pPr>
        <w:pStyle w:val="Heading2"/>
      </w:pPr>
      <w:r>
        <w:t xml:space="preserve">5.1 Type of Research</w:t>
      </w:r>
    </w:p>
    <w:p>
      <w:pPr>
        <w:spacing w:after="200" w:line="360"/>
        <w:jc w:val="both"/>
      </w:pPr>
      <w:r>
        <w:rPr>
          <w:b w:val="false"/>
          <w:bCs w:val="false"/>
          <w:i w:val="false"/>
          <w:iCs w:val="false"/>
        </w:rPr>
        <w:t xml:space="preserve">This project follows an applied, experimental research methodology: a working software prototype is designed, implemented, and evaluated against realistic vendor-usage scenarios, rather than a purely theoretical or survey-based study.</w:t>
      </w:r>
    </w:p>
    <w:p>
      <w:pPr>
        <w:pStyle w:val="Heading2"/>
      </w:pPr>
      <w:r>
        <w:t xml:space="preserve">5.2 Data Sources &amp; Collection</w:t>
      </w:r>
    </w:p>
    <w:p>
      <w:pPr>
        <w:spacing w:after="200" w:line="360"/>
        <w:jc w:val="both"/>
      </w:pPr>
      <w:r>
        <w:rPr>
          <w:b w:val="false"/>
          <w:bCs w:val="false"/>
          <w:i w:val="false"/>
          <w:iCs w:val="false"/>
        </w:rPr>
        <w:t xml:space="preserve">Four categories of data feed the system: (i) voice-transcribed daily sales logs captured through the Flutter app; (ii) OCR-extracted line items from photographed wholesale receipts; (iii) external contextual data — public weather APIs and a regional festival/event calendar; and (iv) historical and simulated transaction datasets used to train and validate the forecasting models during development.</w:t>
      </w:r>
    </w:p>
    <w:p>
      <w:pPr>
        <w:pStyle w:val="Heading2"/>
      </w:pPr>
      <w:r>
        <w:t xml:space="preserve">5.3 Proposed System Architecture</w:t>
      </w:r>
    </w:p>
    <w:p>
      <w:pPr>
        <w:spacing w:after="200" w:line="360"/>
        <w:jc w:val="both"/>
      </w:pPr>
      <w:r>
        <w:rPr>
          <w:b w:val="false"/>
          <w:bCs w:val="false"/>
          <w:i w:val="false"/>
          <w:iCs w:val="false"/>
        </w:rPr>
        <w:t xml:space="preserve">The system is organised into three cooperating layers, shown in Fig. 5.1: a data-ingestion layer that normalises input from voice, OCR, and external APIs; a FastAPI-based prediction engine that runs the forecasting and safety-stock models; and the Flutter vendor app, which turns model output into a plain-language alert and captures new data for the next cycle.</w:t>
      </w:r>
    </w:p>
    <w:p>
      <w:pPr>
        <w:spacing w:after="0" w:before="200"/>
        <w:jc w:val="center"/>
      </w:pPr>
      <w:r>
        <w:drawing>
          <wp:inline distT="0" distB="0" distL="0" distR="0">
            <wp:extent cx="55245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209675"/>
                    </a:xfrm>
                    <a:prstGeom prst="rect">
                      <a:avLst/>
                    </a:prstGeom>
                  </pic:spPr>
                </pic:pic>
              </a:graphicData>
            </a:graphic>
          </wp:inline>
        </w:drawing>
      </w:r>
    </w:p>
    <w:p>
      <w:pPr>
        <w:spacing w:after="300" w:before="100"/>
        <w:jc w:val="center"/>
      </w:pPr>
      <w:r>
        <w:rPr>
          <w:i/>
          <w:iCs/>
          <w:color w:val="5B5F7A"/>
          <w:sz w:val="20"/>
          <w:szCs w:val="20"/>
        </w:rPr>
        <w:t xml:space="preserve">Fig. 5.1 — Vendor360 system architecture: from raw signals to an on-device predictive alert.</w:t>
      </w:r>
    </w:p>
    <w:p>
      <w:pPr>
        <w:pStyle w:val="Heading2"/>
      </w:pPr>
      <w:r>
        <w:t xml:space="preserve">5.4 Module Description</w:t>
      </w:r>
    </w:p>
    <w:p>
      <w:pPr>
        <w:spacing w:after="200" w:line="360"/>
        <w:jc w:val="both"/>
      </w:pPr>
      <w:r>
        <w:rPr>
          <w:b/>
          <w:bCs/>
        </w:rPr>
        <w:t xml:space="preserve">Context-Aware Demand Forecasting. </w:t>
      </w:r>
      <w:r>
        <w:t xml:space="preserve">Rather than relying solely on historical sales, the engine ingests external signals — for example, local weather data or an upcoming regional festival — to anticipate demand spikes, such as alerting a vendor to stock extra umbrellas before unseasonal rain, or extra dairy products ahead of a festival like Ganesh Chaturthi.</w:t>
      </w:r>
    </w:p>
    <w:p>
      <w:pPr>
        <w:spacing w:after="200" w:line="360"/>
        <w:jc w:val="both"/>
      </w:pPr>
      <w:r>
        <w:rPr>
          <w:b/>
          <w:bCs/>
        </w:rPr>
        <w:t xml:space="preserve">Dynamic Safety-Stock Modelling. </w:t>
      </w:r>
      <w:r>
        <w:t xml:space="preserve">Fixed reorder points are replaced with machine-learning-derived safety-stock levels computed from real-time sales velocity, supplier lead time, and the shelf life of each perishable category.</w:t>
      </w:r>
    </w:p>
    <w:p>
      <w:pPr>
        <w:spacing w:after="200" w:line="360"/>
        <w:jc w:val="both"/>
      </w:pPr>
      <w:r>
        <w:rPr>
          <w:b/>
          <w:bCs/>
        </w:rPr>
        <w:t xml:space="preserve">Vernacular Voice-to-Inventory Logging. </w:t>
      </w:r>
      <w:r>
        <w:t xml:space="preserve">Using the Bhashini speech-to-text API, a vendor taps a microphone icon and speaks a stock update in Hindi, Marathi, or another supported language; an NLP parsing step extracts item and quantity and updates the Supabase database directly.</w:t>
      </w:r>
    </w:p>
    <w:p>
      <w:pPr>
        <w:spacing w:after="200" w:line="360"/>
        <w:jc w:val="both"/>
      </w:pPr>
      <w:r>
        <w:rPr>
          <w:b/>
          <w:bCs/>
        </w:rPr>
        <w:t xml:space="preserve">Smart Expiry &amp; OCR Receipt Scanning. </w:t>
      </w:r>
      <w:r>
        <w:t xml:space="preserve">A photograph of a wholesale receipt or batch barcode is parsed with optical character recognition to automatically log items, calculate standard shelf life, and set up an automated “sell-by” countdown.</w:t>
      </w:r>
    </w:p>
    <w:p>
      <w:pPr>
        <w:spacing w:after="200" w:line="360"/>
        <w:jc w:val="both"/>
      </w:pPr>
      <w:r>
        <w:rPr>
          <w:b/>
          <w:bCs/>
        </w:rPr>
        <w:t xml:space="preserve">Offline-First, Multi-Device Sync. </w:t>
      </w:r>
      <w:r>
        <w:t xml:space="preserve">The Flutter frontend caches each day’s activity locally and reconciles automatically with the cloud database the moment a stable connection returns, so intermittent connectivity in a crowded market never causes data loss.</w:t>
      </w:r>
    </w:p>
    <w:p>
      <w:pPr>
        <w:spacing w:after="200" w:line="360"/>
        <w:jc w:val="both"/>
      </w:pPr>
      <w:r>
        <w:rPr>
          <w:b/>
          <w:bCs/>
        </w:rPr>
        <w:t xml:space="preserve">Micro-Credit “Health Score”. </w:t>
      </w:r>
      <w:r>
        <w:t xml:space="preserve">Consistent sales, inventory turnover, and low waste are combined into a single business health score — a verifiable financial footprint that micro-finance institutions can use toward faster, better-informed credit decisions.</w:t>
      </w:r>
    </w:p>
    <w:p>
      <w:pPr>
        <w:pStyle w:val="Heading2"/>
      </w:pPr>
      <w:r>
        <w:t xml:space="preserve">5.5 Evaluation Metrics</w:t>
      </w:r>
    </w:p>
    <w:p>
      <w:pPr>
        <w:spacing w:after="200" w:line="360"/>
        <w:jc w:val="both"/>
      </w:pPr>
      <w:r>
        <w:rPr>
          <w:b w:val="false"/>
          <w:bCs w:val="false"/>
          <w:i w:val="false"/>
          <w:iCs w:val="false"/>
        </w:rPr>
        <w:t xml:space="preserve">The prototype is evaluated on: forecast accuracy (Mean Absolute Percentage Error); reduction in simulated stockout events; voice-transcription accuracy against a held-out set of vendor utterances; and sync reliability under deliberately degraded connectivity.</w:t>
      </w:r>
    </w:p>
    <w:p>
      <w:pPr>
        <w:pStyle w:val="Heading1"/>
        <w:pageBreakBefore/>
      </w:pPr>
      <w:r>
        <w:t xml:space="preserve">6. Software &amp; Hardware Requirements</w:t>
      </w:r>
    </w:p>
    <w:p>
      <w:pPr>
        <w:pStyle w:val="Heading2"/>
      </w:pPr>
      <w:r>
        <w:t xml:space="preserve">6.1 Software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B1E3C" w:val="clear"/>
            <w:tcMar>
              <w:top w:type="dxa" w:w="100"/>
              <w:left w:type="dxa" w:w="150"/>
              <w:bottom w:type="dxa" w:w="100"/>
              <w:right w:type="dxa" w:w="150"/>
            </w:tcMar>
            <w:vAlign w:val="center"/>
          </w:tcPr>
          <w:p>
            <w:pPr>
              <w:jc w:val="left"/>
            </w:pPr>
            <w:r>
              <w:rPr>
                <w:b/>
                <w:bCs/>
                <w:color w:val="FFFFFF"/>
                <w:sz w:val="20"/>
                <w:szCs w:val="20"/>
              </w:rPr>
              <w:t xml:space="preserve">Component</w:t>
            </w:r>
          </w:p>
        </w:tc>
        <w:tc>
          <w:tcPr>
            <w:tcW w:type="dxa" w:w="6300"/>
            <w:shd w:fill="1B1E3C" w:val="clear"/>
            <w:tcMar>
              <w:top w:type="dxa" w:w="100"/>
              <w:left w:type="dxa" w:w="150"/>
              <w:bottom w:type="dxa" w:w="100"/>
              <w:right w:type="dxa" w:w="150"/>
            </w:tcMar>
            <w:vAlign w:val="center"/>
          </w:tcPr>
          <w:p>
            <w:pPr>
              <w:jc w:val="left"/>
            </w:pPr>
            <w:r>
              <w:rPr>
                <w:b/>
                <w:bCs/>
                <w:color w:val="FFFFFF"/>
                <w:sz w:val="20"/>
                <w:szCs w:val="20"/>
              </w:rPr>
              <w:t xml:space="preserve">Specification</w:t>
            </w:r>
          </w:p>
        </w:tc>
      </w:tr>
      <w:tr>
        <w:tc>
          <w:tcPr>
            <w:tcW w:type="dxa" w:w="3000"/>
            <w:tcMar>
              <w:top w:type="dxa" w:w="100"/>
              <w:left w:type="dxa" w:w="150"/>
              <w:bottom w:type="dxa" w:w="100"/>
              <w:right w:type="dxa" w:w="150"/>
            </w:tcMar>
            <w:vAlign w:val="center"/>
          </w:tcPr>
          <w:p>
            <w:pPr>
              <w:jc w:val="left"/>
            </w:pPr>
            <w:r>
              <w:rPr>
                <w:b w:val="false"/>
                <w:bCs w:val="false"/>
                <w:color w:val="1A1A1A"/>
                <w:sz w:val="20"/>
                <w:szCs w:val="20"/>
              </w:rPr>
              <w:t xml:space="preserve">Backend</w:t>
            </w:r>
          </w:p>
        </w:tc>
        <w:tc>
          <w:tcPr>
            <w:tcW w:type="dxa" w:w="6300"/>
            <w:tcMar>
              <w:top w:type="dxa" w:w="100"/>
              <w:left w:type="dxa" w:w="150"/>
              <w:bottom w:type="dxa" w:w="100"/>
              <w:right w:type="dxa" w:w="150"/>
            </w:tcMar>
            <w:vAlign w:val="center"/>
          </w:tcPr>
          <w:p>
            <w:pPr>
              <w:jc w:val="left"/>
            </w:pPr>
            <w:r>
              <w:rPr>
                <w:b w:val="false"/>
                <w:bCs w:val="false"/>
                <w:color w:val="1A1A1A"/>
                <w:sz w:val="20"/>
                <w:szCs w:val="20"/>
              </w:rPr>
              <w:t xml:space="preserve">Python 3.11+, FastAPI, scikit-learn / Prophet for forecasting</w:t>
            </w:r>
          </w:p>
        </w:tc>
      </w:tr>
      <w:tr>
        <w:tc>
          <w:tcPr>
            <w:tcW w:type="dxa" w:w="3000"/>
            <w:shd w:fill="F3F3F9" w:val="clear"/>
            <w:tcMar>
              <w:top w:type="dxa" w:w="100"/>
              <w:left w:type="dxa" w:w="150"/>
              <w:bottom w:type="dxa" w:w="100"/>
              <w:right w:type="dxa" w:w="150"/>
            </w:tcMar>
            <w:vAlign w:val="center"/>
          </w:tcPr>
          <w:p>
            <w:pPr>
              <w:jc w:val="left"/>
            </w:pPr>
            <w:r>
              <w:rPr>
                <w:b w:val="false"/>
                <w:bCs w:val="false"/>
                <w:color w:val="1A1A1A"/>
                <w:sz w:val="20"/>
                <w:szCs w:val="20"/>
              </w:rPr>
              <w:t xml:space="preserve">Database</w:t>
            </w:r>
          </w:p>
        </w:tc>
        <w:tc>
          <w:tcPr>
            <w:tcW w:type="dxa" w:w="6300"/>
            <w:shd w:fill="F3F3F9" w:val="clear"/>
            <w:tcMar>
              <w:top w:type="dxa" w:w="100"/>
              <w:left w:type="dxa" w:w="150"/>
              <w:bottom w:type="dxa" w:w="100"/>
              <w:right w:type="dxa" w:w="150"/>
            </w:tcMar>
            <w:vAlign w:val="center"/>
          </w:tcPr>
          <w:p>
            <w:pPr>
              <w:jc w:val="left"/>
            </w:pPr>
            <w:r>
              <w:rPr>
                <w:b w:val="false"/>
                <w:bCs w:val="false"/>
                <w:color w:val="1A1A1A"/>
                <w:sz w:val="20"/>
                <w:szCs w:val="20"/>
              </w:rPr>
              <w:t xml:space="preserve">Supabase (PostgreSQL) — managed cloud with local offline cache</w:t>
            </w:r>
          </w:p>
        </w:tc>
      </w:tr>
      <w:tr>
        <w:tc>
          <w:tcPr>
            <w:tcW w:type="dxa" w:w="3000"/>
            <w:tcMar>
              <w:top w:type="dxa" w:w="100"/>
              <w:left w:type="dxa" w:w="150"/>
              <w:bottom w:type="dxa" w:w="100"/>
              <w:right w:type="dxa" w:w="150"/>
            </w:tcMar>
            <w:vAlign w:val="center"/>
          </w:tcPr>
          <w:p>
            <w:pPr>
              <w:jc w:val="left"/>
            </w:pPr>
            <w:r>
              <w:rPr>
                <w:b w:val="false"/>
                <w:bCs w:val="false"/>
                <w:color w:val="1A1A1A"/>
                <w:sz w:val="20"/>
                <w:szCs w:val="20"/>
              </w:rPr>
              <w:t xml:space="preserve">Mobile Application</w:t>
            </w:r>
          </w:p>
        </w:tc>
        <w:tc>
          <w:tcPr>
            <w:tcW w:type="dxa" w:w="6300"/>
            <w:tcMar>
              <w:top w:type="dxa" w:w="100"/>
              <w:left w:type="dxa" w:w="150"/>
              <w:bottom w:type="dxa" w:w="100"/>
              <w:right w:type="dxa" w:w="150"/>
            </w:tcMar>
            <w:vAlign w:val="center"/>
          </w:tcPr>
          <w:p>
            <w:pPr>
              <w:jc w:val="left"/>
            </w:pPr>
            <w:r>
              <w:rPr>
                <w:b w:val="false"/>
                <w:bCs w:val="false"/>
                <w:color w:val="1A1A1A"/>
                <w:sz w:val="20"/>
                <w:szCs w:val="20"/>
              </w:rPr>
              <w:t xml:space="preserve">Flutter (Dart) — single codebase for Android &amp; iOS</w:t>
            </w:r>
          </w:p>
        </w:tc>
      </w:tr>
      <w:tr>
        <w:tc>
          <w:tcPr>
            <w:tcW w:type="dxa" w:w="3000"/>
            <w:shd w:fill="F3F3F9" w:val="clear"/>
            <w:tcMar>
              <w:top w:type="dxa" w:w="100"/>
              <w:left w:type="dxa" w:w="150"/>
              <w:bottom w:type="dxa" w:w="100"/>
              <w:right w:type="dxa" w:w="150"/>
            </w:tcMar>
            <w:vAlign w:val="center"/>
          </w:tcPr>
          <w:p>
            <w:pPr>
              <w:jc w:val="left"/>
            </w:pPr>
            <w:r>
              <w:rPr>
                <w:b w:val="false"/>
                <w:bCs w:val="false"/>
                <w:color w:val="1A1A1A"/>
                <w:sz w:val="20"/>
                <w:szCs w:val="20"/>
              </w:rPr>
              <w:t xml:space="preserve">External APIs</w:t>
            </w:r>
          </w:p>
        </w:tc>
        <w:tc>
          <w:tcPr>
            <w:tcW w:type="dxa" w:w="6300"/>
            <w:shd w:fill="F3F3F9" w:val="clear"/>
            <w:tcMar>
              <w:top w:type="dxa" w:w="100"/>
              <w:left w:type="dxa" w:w="150"/>
              <w:bottom w:type="dxa" w:w="100"/>
              <w:right w:type="dxa" w:w="150"/>
            </w:tcMar>
            <w:vAlign w:val="center"/>
          </w:tcPr>
          <w:p>
            <w:pPr>
              <w:jc w:val="left"/>
            </w:pPr>
            <w:r>
              <w:rPr>
                <w:b w:val="false"/>
                <w:bCs w:val="false"/>
                <w:color w:val="1A1A1A"/>
                <w:sz w:val="20"/>
                <w:szCs w:val="20"/>
              </w:rPr>
              <w:t xml:space="preserve">Bhashini Speech-to-Text, OCR engine, public weather data API</w:t>
            </w:r>
          </w:p>
        </w:tc>
      </w:tr>
      <w:tr>
        <w:tc>
          <w:tcPr>
            <w:tcW w:type="dxa" w:w="3000"/>
            <w:tcMar>
              <w:top w:type="dxa" w:w="100"/>
              <w:left w:type="dxa" w:w="150"/>
              <w:bottom w:type="dxa" w:w="100"/>
              <w:right w:type="dxa" w:w="150"/>
            </w:tcMar>
            <w:vAlign w:val="center"/>
          </w:tcPr>
          <w:p>
            <w:pPr>
              <w:jc w:val="left"/>
            </w:pPr>
            <w:r>
              <w:rPr>
                <w:b w:val="false"/>
                <w:bCs w:val="false"/>
                <w:color w:val="1A1A1A"/>
                <w:sz w:val="20"/>
                <w:szCs w:val="20"/>
              </w:rPr>
              <w:t xml:space="preserve">Development Tooling</w:t>
            </w:r>
          </w:p>
        </w:tc>
        <w:tc>
          <w:tcPr>
            <w:tcW w:type="dxa" w:w="6300"/>
            <w:tcMar>
              <w:top w:type="dxa" w:w="100"/>
              <w:left w:type="dxa" w:w="150"/>
              <w:bottom w:type="dxa" w:w="100"/>
              <w:right w:type="dxa" w:w="150"/>
            </w:tcMar>
            <w:vAlign w:val="center"/>
          </w:tcPr>
          <w:p>
            <w:pPr>
              <w:jc w:val="left"/>
            </w:pPr>
            <w:r>
              <w:rPr>
                <w:b w:val="false"/>
                <w:bCs w:val="false"/>
                <w:color w:val="1A1A1A"/>
                <w:sz w:val="20"/>
                <w:szCs w:val="20"/>
              </w:rPr>
              <w:t xml:space="preserve">Git / GitHub, Postman, VS Code, Android Studio</w:t>
            </w:r>
          </w:p>
        </w:tc>
      </w:tr>
      <w:tr>
        <w:tc>
          <w:tcPr>
            <w:tcW w:type="dxa" w:w="3000"/>
            <w:shd w:fill="F3F3F9" w:val="clear"/>
            <w:tcMar>
              <w:top w:type="dxa" w:w="100"/>
              <w:left w:type="dxa" w:w="150"/>
              <w:bottom w:type="dxa" w:w="100"/>
              <w:right w:type="dxa" w:w="150"/>
            </w:tcMar>
            <w:vAlign w:val="center"/>
          </w:tcPr>
          <w:p>
            <w:pPr>
              <w:jc w:val="left"/>
            </w:pPr>
            <w:r>
              <w:rPr>
                <w:b w:val="false"/>
                <w:bCs w:val="false"/>
                <w:color w:val="1A1A1A"/>
                <w:sz w:val="20"/>
                <w:szCs w:val="20"/>
              </w:rPr>
              <w:t xml:space="preserve">Operating System</w:t>
            </w:r>
          </w:p>
        </w:tc>
        <w:tc>
          <w:tcPr>
            <w:tcW w:type="dxa" w:w="6300"/>
            <w:shd w:fill="F3F3F9" w:val="clear"/>
            <w:tcMar>
              <w:top w:type="dxa" w:w="100"/>
              <w:left w:type="dxa" w:w="150"/>
              <w:bottom w:type="dxa" w:w="100"/>
              <w:right w:type="dxa" w:w="150"/>
            </w:tcMar>
            <w:vAlign w:val="center"/>
          </w:tcPr>
          <w:p>
            <w:pPr>
              <w:jc w:val="left"/>
            </w:pPr>
            <w:r>
              <w:rPr>
                <w:b w:val="false"/>
                <w:bCs w:val="false"/>
                <w:color w:val="1A1A1A"/>
                <w:sz w:val="20"/>
                <w:szCs w:val="20"/>
              </w:rPr>
              <w:t xml:space="preserve">Windows 10/11 or Ubuntu 20.04+ (development environment)</w:t>
            </w:r>
          </w:p>
        </w:tc>
      </w:tr>
    </w:tbl>
    <w:p>
      <w:pPr>
        <w:spacing w:after="300"/>
      </w:pPr>
    </w:p>
    <w:p>
      <w:pPr>
        <w:pStyle w:val="Heading2"/>
      </w:pPr>
      <w:r>
        <w:t xml:space="preserve">6.2 Hardware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B1E3C" w:val="clear"/>
            <w:tcMar>
              <w:top w:type="dxa" w:w="100"/>
              <w:left w:type="dxa" w:w="150"/>
              <w:bottom w:type="dxa" w:w="100"/>
              <w:right w:type="dxa" w:w="150"/>
            </w:tcMar>
            <w:vAlign w:val="center"/>
          </w:tcPr>
          <w:p>
            <w:pPr>
              <w:jc w:val="left"/>
            </w:pPr>
            <w:r>
              <w:rPr>
                <w:b/>
                <w:bCs/>
                <w:color w:val="FFFFFF"/>
                <w:sz w:val="20"/>
                <w:szCs w:val="20"/>
              </w:rPr>
              <w:t xml:space="preserve">Component</w:t>
            </w:r>
          </w:p>
        </w:tc>
        <w:tc>
          <w:tcPr>
            <w:tcW w:type="dxa" w:w="6300"/>
            <w:shd w:fill="1B1E3C" w:val="clear"/>
            <w:tcMar>
              <w:top w:type="dxa" w:w="100"/>
              <w:left w:type="dxa" w:w="150"/>
              <w:bottom w:type="dxa" w:w="100"/>
              <w:right w:type="dxa" w:w="150"/>
            </w:tcMar>
            <w:vAlign w:val="center"/>
          </w:tcPr>
          <w:p>
            <w:pPr>
              <w:jc w:val="left"/>
            </w:pPr>
            <w:r>
              <w:rPr>
                <w:b/>
                <w:bCs/>
                <w:color w:val="FFFFFF"/>
                <w:sz w:val="20"/>
                <w:szCs w:val="20"/>
              </w:rPr>
              <w:t xml:space="preserve">Specification</w:t>
            </w:r>
          </w:p>
        </w:tc>
      </w:tr>
      <w:tr>
        <w:tc>
          <w:tcPr>
            <w:tcW w:type="dxa" w:w="3000"/>
            <w:tcMar>
              <w:top w:type="dxa" w:w="100"/>
              <w:left w:type="dxa" w:w="150"/>
              <w:bottom w:type="dxa" w:w="100"/>
              <w:right w:type="dxa" w:w="150"/>
            </w:tcMar>
            <w:vAlign w:val="center"/>
          </w:tcPr>
          <w:p>
            <w:pPr>
              <w:jc w:val="left"/>
            </w:pPr>
            <w:r>
              <w:rPr>
                <w:b w:val="false"/>
                <w:bCs w:val="false"/>
                <w:color w:val="1A1A1A"/>
                <w:sz w:val="20"/>
                <w:szCs w:val="20"/>
              </w:rPr>
              <w:t xml:space="preserve">Development Machine</w:t>
            </w:r>
          </w:p>
        </w:tc>
        <w:tc>
          <w:tcPr>
            <w:tcW w:type="dxa" w:w="6300"/>
            <w:tcMar>
              <w:top w:type="dxa" w:w="100"/>
              <w:left w:type="dxa" w:w="150"/>
              <w:bottom w:type="dxa" w:w="100"/>
              <w:right w:type="dxa" w:w="150"/>
            </w:tcMar>
            <w:vAlign w:val="center"/>
          </w:tcPr>
          <w:p>
            <w:pPr>
              <w:jc w:val="left"/>
            </w:pPr>
            <w:r>
              <w:rPr>
                <w:b w:val="false"/>
                <w:bCs w:val="false"/>
                <w:color w:val="1A1A1A"/>
                <w:sz w:val="20"/>
                <w:szCs w:val="20"/>
              </w:rPr>
              <w:t xml:space="preserve">Intel i5 / Ryzen 5 or higher, 8GB+ RAM (16GB recommended), 256GB SSD</w:t>
            </w:r>
          </w:p>
        </w:tc>
      </w:tr>
      <w:tr>
        <w:tc>
          <w:tcPr>
            <w:tcW w:type="dxa" w:w="3000"/>
            <w:shd w:fill="F3F3F9" w:val="clear"/>
            <w:tcMar>
              <w:top w:type="dxa" w:w="100"/>
              <w:left w:type="dxa" w:w="150"/>
              <w:bottom w:type="dxa" w:w="100"/>
              <w:right w:type="dxa" w:w="150"/>
            </w:tcMar>
            <w:vAlign w:val="center"/>
          </w:tcPr>
          <w:p>
            <w:pPr>
              <w:jc w:val="left"/>
            </w:pPr>
            <w:r>
              <w:rPr>
                <w:b w:val="false"/>
                <w:bCs w:val="false"/>
                <w:color w:val="1A1A1A"/>
                <w:sz w:val="20"/>
                <w:szCs w:val="20"/>
              </w:rPr>
              <w:t xml:space="preserve">Vendor Client Device</w:t>
            </w:r>
          </w:p>
        </w:tc>
        <w:tc>
          <w:tcPr>
            <w:tcW w:type="dxa" w:w="6300"/>
            <w:shd w:fill="F3F3F9" w:val="clear"/>
            <w:tcMar>
              <w:top w:type="dxa" w:w="100"/>
              <w:left w:type="dxa" w:w="150"/>
              <w:bottom w:type="dxa" w:w="100"/>
              <w:right w:type="dxa" w:w="150"/>
            </w:tcMar>
            <w:vAlign w:val="center"/>
          </w:tcPr>
          <w:p>
            <w:pPr>
              <w:jc w:val="left"/>
            </w:pPr>
            <w:r>
              <w:rPr>
                <w:b w:val="false"/>
                <w:bCs w:val="false"/>
                <w:color w:val="1A1A1A"/>
                <w:sz w:val="20"/>
                <w:szCs w:val="20"/>
              </w:rPr>
              <w:t xml:space="preserve">Android 8+ / iOS 13+ smartphone with camera &amp; microphone, 2GB+ RAM</w:t>
            </w:r>
          </w:p>
        </w:tc>
      </w:tr>
      <w:tr>
        <w:tc>
          <w:tcPr>
            <w:tcW w:type="dxa" w:w="3000"/>
            <w:tcMar>
              <w:top w:type="dxa" w:w="100"/>
              <w:left w:type="dxa" w:w="150"/>
              <w:bottom w:type="dxa" w:w="100"/>
              <w:right w:type="dxa" w:w="150"/>
            </w:tcMar>
            <w:vAlign w:val="center"/>
          </w:tcPr>
          <w:p>
            <w:pPr>
              <w:jc w:val="left"/>
            </w:pPr>
            <w:r>
              <w:rPr>
                <w:b w:val="false"/>
                <w:bCs w:val="false"/>
                <w:color w:val="1A1A1A"/>
                <w:sz w:val="20"/>
                <w:szCs w:val="20"/>
              </w:rPr>
              <w:t xml:space="preserve">Server / Cloud</w:t>
            </w:r>
          </w:p>
        </w:tc>
        <w:tc>
          <w:tcPr>
            <w:tcW w:type="dxa" w:w="6300"/>
            <w:tcMar>
              <w:top w:type="dxa" w:w="100"/>
              <w:left w:type="dxa" w:w="150"/>
              <w:bottom w:type="dxa" w:w="100"/>
              <w:right w:type="dxa" w:w="150"/>
            </w:tcMar>
            <w:vAlign w:val="center"/>
          </w:tcPr>
          <w:p>
            <w:pPr>
              <w:jc w:val="left"/>
            </w:pPr>
            <w:r>
              <w:rPr>
                <w:b w:val="false"/>
                <w:bCs w:val="false"/>
                <w:color w:val="1A1A1A"/>
                <w:sz w:val="20"/>
                <w:szCs w:val="20"/>
              </w:rPr>
              <w:t xml:space="preserve">Supabase managed cloud instance — no dedicated local server hardware</w:t>
            </w:r>
          </w:p>
        </w:tc>
      </w:tr>
      <w:tr>
        <w:tc>
          <w:tcPr>
            <w:tcW w:type="dxa" w:w="3000"/>
            <w:shd w:fill="F3F3F9" w:val="clear"/>
            <w:tcMar>
              <w:top w:type="dxa" w:w="100"/>
              <w:left w:type="dxa" w:w="150"/>
              <w:bottom w:type="dxa" w:w="100"/>
              <w:right w:type="dxa" w:w="150"/>
            </w:tcMar>
            <w:vAlign w:val="center"/>
          </w:tcPr>
          <w:p>
            <w:pPr>
              <w:jc w:val="left"/>
            </w:pPr>
            <w:r>
              <w:rPr>
                <w:b w:val="false"/>
                <w:bCs w:val="false"/>
                <w:color w:val="1A1A1A"/>
                <w:sz w:val="20"/>
                <w:szCs w:val="20"/>
              </w:rPr>
              <w:t xml:space="preserve">Connectivity</w:t>
            </w:r>
          </w:p>
        </w:tc>
        <w:tc>
          <w:tcPr>
            <w:tcW w:type="dxa" w:w="6300"/>
            <w:shd w:fill="F3F3F9" w:val="clear"/>
            <w:tcMar>
              <w:top w:type="dxa" w:w="100"/>
              <w:left w:type="dxa" w:w="150"/>
              <w:bottom w:type="dxa" w:w="100"/>
              <w:right w:type="dxa" w:w="150"/>
            </w:tcMar>
            <w:vAlign w:val="center"/>
          </w:tcPr>
          <w:p>
            <w:pPr>
              <w:jc w:val="left"/>
            </w:pPr>
            <w:r>
              <w:rPr>
                <w:b w:val="false"/>
                <w:bCs w:val="false"/>
                <w:color w:val="1A1A1A"/>
                <w:sz w:val="20"/>
                <w:szCs w:val="20"/>
              </w:rPr>
              <w:t xml:space="preserve">Tolerant of intermittent / low-bandwidth mobile data (offline-first design)</w:t>
            </w:r>
          </w:p>
        </w:tc>
      </w:tr>
    </w:tbl>
    <w:p>
      <w:pPr>
        <w:pStyle w:val="Heading1"/>
        <w:pageBreakBefore/>
      </w:pPr>
      <w:r>
        <w:t xml:space="preserve">7. Expected Outcomes / Results</w:t>
      </w:r>
    </w:p>
    <w:p>
      <w:pPr>
        <w:pStyle w:val="ListParagraph"/>
        <w:numPr>
          <w:ilvl w:val="0"/>
          <w:numId w:val="3"/>
        </w:numPr>
        <w:spacing w:after="120" w:line="320"/>
      </w:pPr>
      <w:r>
        <w:t xml:space="preserve">Measurably fewer stockouts on fast-moving items through predictive, rather than reactive, restocking.</w:t>
      </w:r>
    </w:p>
    <w:p>
      <w:pPr>
        <w:pStyle w:val="ListParagraph"/>
        <w:numPr>
          <w:ilvl w:val="0"/>
          <w:numId w:val="3"/>
        </w:numPr>
        <w:spacing w:after="120" w:line="320"/>
      </w:pPr>
      <w:r>
        <w:t xml:space="preserve">Reduced spoilage on perishable categories through dynamic, shelf-life-aware safety-stock recommendations.</w:t>
      </w:r>
    </w:p>
    <w:p>
      <w:pPr>
        <w:pStyle w:val="ListParagraph"/>
        <w:numPr>
          <w:ilvl w:val="0"/>
          <w:numId w:val="3"/>
        </w:numPr>
        <w:spacing w:after="120" w:line="320"/>
      </w:pPr>
      <w:r>
        <w:t xml:space="preserve">Voice-based inventory logging completed in under 10 seconds, replacing several minutes of manual typing.</w:t>
      </w:r>
    </w:p>
    <w:p>
      <w:pPr>
        <w:pStyle w:val="ListParagraph"/>
        <w:numPr>
          <w:ilvl w:val="0"/>
          <w:numId w:val="3"/>
        </w:numPr>
        <w:spacing w:after="120" w:line="320"/>
      </w:pPr>
      <w:r>
        <w:t xml:space="preserve">Automated expiry tracking generated from a single photograph of a wholesale receipt.</w:t>
      </w:r>
    </w:p>
    <w:p>
      <w:pPr>
        <w:pStyle w:val="ListParagraph"/>
        <w:numPr>
          <w:ilvl w:val="0"/>
          <w:numId w:val="3"/>
        </w:numPr>
        <w:spacing w:after="120" w:line="320"/>
      </w:pPr>
      <w:r>
        <w:t xml:space="preserve">Zero data loss across simulated connectivity interruptions, validated through offline-first sync testing.</w:t>
      </w:r>
    </w:p>
    <w:p>
      <w:pPr>
        <w:pStyle w:val="ListParagraph"/>
        <w:numPr>
          <w:ilvl w:val="0"/>
          <w:numId w:val="3"/>
        </w:numPr>
        <w:spacing w:after="120" w:line="320"/>
      </w:pPr>
      <w:r>
        <w:t xml:space="preserve">A working prototype of the vendor Health Score, with explainable scoring factors, ready to be piloted with a micro-finance partner.</w:t>
      </w:r>
    </w:p>
    <w:p>
      <w:pPr>
        <w:pStyle w:val="Heading1"/>
        <w:pageBreakBefore/>
      </w:pPr>
      <w:r>
        <w:t xml:space="preserve">8. Societal Impact</w:t>
      </w:r>
    </w:p>
    <w:p>
      <w:pPr>
        <w:spacing w:after="200" w:line="360"/>
        <w:jc w:val="both"/>
      </w:pPr>
      <w:r>
        <w:rPr>
          <w:b w:val="false"/>
          <w:bCs w:val="false"/>
          <w:i w:val="false"/>
          <w:iCs w:val="false"/>
        </w:rPr>
        <w:t xml:space="preserve">Vendor360 is designed to create impact beyond its immediate technical scope, aligned with the following United Nations Sustainable Development Goals:</w:t>
      </w:r>
    </w:p>
    <w:p>
      <w:pPr>
        <w:spacing w:after="200" w:line="360"/>
        <w:jc w:val="both"/>
      </w:pPr>
      <w:r>
        <w:rPr>
          <w:b/>
          <w:bCs/>
        </w:rPr>
        <w:t xml:space="preserve">SDG 1 — No Poverty &amp; SDG 8 — Decent Work and Economic Growth. </w:t>
      </w:r>
      <w:r>
        <w:t xml:space="preserve">By generating a verifiable financial footprint, the platform gives an estimated 85–90% of currently underserved MSME vendors a pathway toward formal credit and more resilient livelihoods.</w:t>
      </w:r>
    </w:p>
    <w:p>
      <w:pPr>
        <w:spacing w:after="200" w:line="360"/>
        <w:jc w:val="both"/>
      </w:pPr>
      <w:r>
        <w:rPr>
          <w:b/>
          <w:bCs/>
        </w:rPr>
        <w:t xml:space="preserve">SDG 12 — Responsible Consumption and Production. </w:t>
      </w:r>
      <w:r>
        <w:t xml:space="preserve">Perishability-aware stocking reduces avoidable spoilage across dairy, produce, and bakery categories, directly cutting food waste at the retail level.</w:t>
      </w:r>
    </w:p>
    <w:p>
      <w:pPr>
        <w:spacing w:after="200" w:line="360"/>
        <w:jc w:val="both"/>
      </w:pPr>
      <w:r>
        <w:rPr>
          <w:b/>
          <w:bCs/>
        </w:rPr>
        <w:t xml:space="preserve">SDG 9 — Industry, Innovation and Infrastructure. </w:t>
      </w:r>
      <w:r>
        <w:t xml:space="preserve">A voice-first, vernacular interface extends the benefit of modern predictive tooling to vendors regardless of literacy or typing proficiency, broadening who can participate in India’s digital economy.</w:t>
      </w:r>
    </w:p>
    <w:p>
      <w:pPr>
        <w:spacing w:after="200" w:line="360"/>
        <w:jc w:val="both"/>
      </w:pPr>
      <w:r>
        <w:rPr>
          <w:b/>
          <w:bCs/>
        </w:rPr>
        <w:t xml:space="preserve">Alignment with Digital India. </w:t>
      </w:r>
      <w:r>
        <w:t xml:space="preserve">By digitising the last analogue mile of retail decision-making — “what to stock, and how much” — Vendor360 advances the broader goal of self-reliant, digitally-empowered local commerce.</w:t>
      </w:r>
    </w:p>
    <w:p>
      <w:pPr>
        <w:pStyle w:val="Heading1"/>
        <w:pageBreakBefore/>
      </w:pPr>
      <w:r>
        <w:t xml:space="preserve">9. Project Timeline</w:t>
      </w:r>
    </w:p>
    <w:p>
      <w:pPr>
        <w:spacing w:after="200" w:line="360"/>
        <w:jc w:val="both"/>
      </w:pPr>
      <w:r>
        <w:rPr>
          <w:b w:val="false"/>
          <w:bCs w:val="false"/>
          <w:i w:val="false"/>
          <w:iCs w:val="false"/>
        </w:rPr>
        <w:t xml:space="preserve">The project follows the Department’s official Mini-Project Phase I (Semester 3) schedule, structured around three milestones: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00"/>
      </w:tblGrid>
      <w:tr>
        <w:trPr>
          <w:tblHeader/>
        </w:trPr>
        <w:tc>
          <w:tcPr>
            <w:tcW w:type="dxa" w:w="700"/>
            <w:shd w:fill="1B1E3C" w:val="clear"/>
            <w:tcMar>
              <w:top w:type="dxa" w:w="100"/>
              <w:left w:type="dxa" w:w="150"/>
              <w:bottom w:type="dxa" w:w="100"/>
              <w:right w:type="dxa" w:w="150"/>
            </w:tcMar>
            <w:vAlign w:val="center"/>
          </w:tcPr>
          <w:p>
            <w:pPr>
              <w:jc w:val="left"/>
            </w:pPr>
            <w:r>
              <w:rPr>
                <w:b/>
                <w:bCs/>
                <w:color w:val="FFFFFF"/>
                <w:sz w:val="20"/>
                <w:szCs w:val="20"/>
              </w:rPr>
              <w:t xml:space="preserve">#</w:t>
            </w:r>
          </w:p>
        </w:tc>
        <w:tc>
          <w:tcPr>
            <w:tcW w:type="dxa" w:w="2200"/>
            <w:shd w:fill="1B1E3C" w:val="clear"/>
            <w:tcMar>
              <w:top w:type="dxa" w:w="100"/>
              <w:left w:type="dxa" w:w="150"/>
              <w:bottom w:type="dxa" w:w="100"/>
              <w:right w:type="dxa" w:w="150"/>
            </w:tcMar>
            <w:vAlign w:val="center"/>
          </w:tcPr>
          <w:p>
            <w:pPr>
              <w:jc w:val="left"/>
            </w:pPr>
            <w:r>
              <w:rPr>
                <w:b/>
                <w:bCs/>
                <w:color w:val="FFFFFF"/>
                <w:sz w:val="20"/>
                <w:szCs w:val="20"/>
              </w:rPr>
              <w:t xml:space="preserve">Date</w:t>
            </w:r>
          </w:p>
        </w:tc>
        <w:tc>
          <w:tcPr>
            <w:tcW w:type="dxa" w:w="6400"/>
            <w:shd w:fill="1B1E3C" w:val="clear"/>
            <w:tcMar>
              <w:top w:type="dxa" w:w="100"/>
              <w:left w:type="dxa" w:w="150"/>
              <w:bottom w:type="dxa" w:w="100"/>
              <w:right w:type="dxa" w:w="150"/>
            </w:tcMar>
            <w:vAlign w:val="center"/>
          </w:tcPr>
          <w:p>
            <w:pPr>
              <w:jc w:val="left"/>
            </w:pPr>
            <w:r>
              <w:rPr>
                <w:b/>
                <w:bCs/>
                <w:color w:val="FFFFFF"/>
                <w:sz w:val="20"/>
                <w:szCs w:val="20"/>
              </w:rPr>
              <w:t xml:space="preserve">Milestone</w:t>
            </w:r>
          </w:p>
        </w:tc>
      </w:tr>
      <w:tr>
        <w:tc>
          <w:tcPr>
            <w:tcW w:type="dxa" w:w="700"/>
            <w:tcMar>
              <w:top w:type="dxa" w:w="100"/>
              <w:left w:type="dxa" w:w="150"/>
              <w:bottom w:type="dxa" w:w="100"/>
              <w:right w:type="dxa" w:w="150"/>
            </w:tcMar>
            <w:vAlign w:val="center"/>
          </w:tcPr>
          <w:p>
            <w:pPr>
              <w:jc w:val="left"/>
            </w:pPr>
            <w:r>
              <w:rPr>
                <w:b w:val="false"/>
                <w:bCs w:val="false"/>
                <w:color w:val="1A1A1A"/>
                <w:sz w:val="20"/>
                <w:szCs w:val="20"/>
              </w:rPr>
              <w:t xml:space="preserve">1</w:t>
            </w:r>
          </w:p>
        </w:tc>
        <w:tc>
          <w:tcPr>
            <w:tcW w:type="dxa" w:w="2200"/>
            <w:tcMar>
              <w:top w:type="dxa" w:w="100"/>
              <w:left w:type="dxa" w:w="150"/>
              <w:bottom w:type="dxa" w:w="100"/>
              <w:right w:type="dxa" w:w="150"/>
            </w:tcMar>
            <w:vAlign w:val="center"/>
          </w:tcPr>
          <w:p>
            <w:pPr>
              <w:jc w:val="left"/>
            </w:pPr>
            <w:r>
              <w:rPr>
                <w:b w:val="false"/>
                <w:bCs w:val="false"/>
                <w:color w:val="1A1A1A"/>
                <w:sz w:val="20"/>
                <w:szCs w:val="20"/>
              </w:rPr>
              <w:t xml:space="preserve">30 Jul 2026 (Completed)</w:t>
            </w:r>
          </w:p>
        </w:tc>
        <w:tc>
          <w:tcPr>
            <w:tcW w:type="dxa" w:w="6400"/>
            <w:tcMar>
              <w:top w:type="dxa" w:w="100"/>
              <w:left w:type="dxa" w:w="150"/>
              <w:bottom w:type="dxa" w:w="100"/>
              <w:right w:type="dxa" w:w="150"/>
            </w:tcMar>
            <w:vAlign w:val="center"/>
          </w:tcPr>
          <w:p>
            <w:pPr>
              <w:jc w:val="left"/>
            </w:pPr>
            <w:r>
              <w:rPr>
                <w:b w:val="false"/>
                <w:bCs w:val="false"/>
                <w:color w:val="1A1A1A"/>
                <w:sz w:val="20"/>
                <w:szCs w:val="20"/>
              </w:rPr>
              <w:t xml:space="preserve">Project Title Finalization Presentation</w:t>
            </w:r>
          </w:p>
        </w:tc>
      </w:tr>
      <w:tr>
        <w:tc>
          <w:tcPr>
            <w:tcW w:type="dxa" w:w="700"/>
            <w:shd w:fill="F3F3F9" w:val="clear"/>
            <w:tcMar>
              <w:top w:type="dxa" w:w="100"/>
              <w:left w:type="dxa" w:w="150"/>
              <w:bottom w:type="dxa" w:w="100"/>
              <w:right w:type="dxa" w:w="150"/>
            </w:tcMar>
            <w:vAlign w:val="center"/>
          </w:tcPr>
          <w:p>
            <w:pPr>
              <w:jc w:val="left"/>
            </w:pPr>
            <w:r>
              <w:rPr>
                <w:b w:val="false"/>
                <w:bCs w:val="false"/>
                <w:color w:val="1A1A1A"/>
                <w:sz w:val="20"/>
                <w:szCs w:val="20"/>
              </w:rPr>
              <w:t xml:space="preserve">2</w:t>
            </w:r>
          </w:p>
        </w:tc>
        <w:tc>
          <w:tcPr>
            <w:tcW w:type="dxa" w:w="2200"/>
            <w:shd w:fill="F3F3F9" w:val="clear"/>
            <w:tcMar>
              <w:top w:type="dxa" w:w="100"/>
              <w:left w:type="dxa" w:w="150"/>
              <w:bottom w:type="dxa" w:w="100"/>
              <w:right w:type="dxa" w:w="150"/>
            </w:tcMar>
            <w:vAlign w:val="center"/>
          </w:tcPr>
          <w:p>
            <w:pPr>
              <w:jc w:val="left"/>
            </w:pPr>
            <w:r>
              <w:rPr>
                <w:b w:val="false"/>
                <w:bCs w:val="false"/>
                <w:color w:val="1A1A1A"/>
                <w:sz w:val="20"/>
                <w:szCs w:val="20"/>
              </w:rPr>
              <w:t xml:space="preserve">27 Aug 2026</w:t>
            </w:r>
          </w:p>
        </w:tc>
        <w:tc>
          <w:tcPr>
            <w:tcW w:type="dxa" w:w="6400"/>
            <w:shd w:fill="F3F3F9" w:val="clear"/>
            <w:tcMar>
              <w:top w:type="dxa" w:w="100"/>
              <w:left w:type="dxa" w:w="150"/>
              <w:bottom w:type="dxa" w:w="100"/>
              <w:right w:type="dxa" w:w="150"/>
            </w:tcMar>
            <w:vAlign w:val="center"/>
          </w:tcPr>
          <w:p>
            <w:pPr>
              <w:jc w:val="left"/>
            </w:pPr>
            <w:r>
              <w:rPr>
                <w:b w:val="false"/>
                <w:bCs w:val="false"/>
                <w:color w:val="1A1A1A"/>
                <w:sz w:val="20"/>
                <w:szCs w:val="20"/>
              </w:rPr>
              <w:t xml:space="preserve">Review 1 — Project Title, Abstract, Introduction, Literature Survey &amp; Block Diagram, presented to the review panel</w:t>
            </w:r>
          </w:p>
        </w:tc>
      </w:tr>
      <w:tr>
        <w:tc>
          <w:tcPr>
            <w:tcW w:type="dxa" w:w="700"/>
            <w:tcMar>
              <w:top w:type="dxa" w:w="100"/>
              <w:left w:type="dxa" w:w="150"/>
              <w:bottom w:type="dxa" w:w="100"/>
              <w:right w:type="dxa" w:w="150"/>
            </w:tcMar>
            <w:vAlign w:val="center"/>
          </w:tcPr>
          <w:p>
            <w:pPr>
              <w:jc w:val="left"/>
            </w:pPr>
            <w:r>
              <w:rPr>
                <w:b w:val="false"/>
                <w:bCs w:val="false"/>
                <w:color w:val="1A1A1A"/>
                <w:sz w:val="20"/>
                <w:szCs w:val="20"/>
              </w:rPr>
              <w:t xml:space="preserve">3</w:t>
            </w:r>
          </w:p>
        </w:tc>
        <w:tc>
          <w:tcPr>
            <w:tcW w:type="dxa" w:w="2200"/>
            <w:tcMar>
              <w:top w:type="dxa" w:w="100"/>
              <w:left w:type="dxa" w:w="150"/>
              <w:bottom w:type="dxa" w:w="100"/>
              <w:right w:type="dxa" w:w="150"/>
            </w:tcMar>
            <w:vAlign w:val="center"/>
          </w:tcPr>
          <w:p>
            <w:pPr>
              <w:jc w:val="left"/>
            </w:pPr>
            <w:r>
              <w:rPr>
                <w:b w:val="false"/>
                <w:bCs w:val="false"/>
                <w:color w:val="1A1A1A"/>
                <w:sz w:val="20"/>
                <w:szCs w:val="20"/>
              </w:rPr>
              <w:t xml:space="preserve">18 Nov 2026</w:t>
            </w:r>
          </w:p>
        </w:tc>
        <w:tc>
          <w:tcPr>
            <w:tcW w:type="dxa" w:w="6400"/>
            <w:tcMar>
              <w:top w:type="dxa" w:w="100"/>
              <w:left w:type="dxa" w:w="150"/>
              <w:bottom w:type="dxa" w:w="100"/>
              <w:right w:type="dxa" w:w="150"/>
            </w:tcMar>
            <w:vAlign w:val="center"/>
          </w:tcPr>
          <w:p>
            <w:pPr>
              <w:jc w:val="left"/>
            </w:pPr>
            <w:r>
              <w:rPr>
                <w:b w:val="false"/>
                <w:bCs w:val="false"/>
                <w:color w:val="1A1A1A"/>
                <w:sz w:val="20"/>
                <w:szCs w:val="20"/>
              </w:rPr>
              <w:t xml:space="preserve">Final Presentation — complete project presented before an External Examiner / Industry Expert</w:t>
            </w:r>
          </w:p>
        </w:tc>
      </w:tr>
    </w:tbl>
    <w:p>
      <w:pPr>
        <w:spacing w:after="200" w:line="360"/>
        <w:jc w:val="both"/>
      </w:pPr>
      <w:r>
        <w:rPr>
          <w:b w:val="false"/>
          <w:bCs w:val="false"/>
          <w:i/>
          <w:iCs/>
        </w:rPr>
        <w:t xml:space="preserve">Standard report and poster formats are circulated to the group and via email on an ongoing basis throughout the semester.</w:t>
      </w:r>
    </w:p>
    <w:p>
      <w:pPr>
        <w:pStyle w:val="Heading1"/>
        <w:pageBreakBefore/>
      </w:pPr>
      <w:r>
        <w:t xml:space="preserve">10. Conclusion &amp; Future Scope</w:t>
      </w:r>
    </w:p>
    <w:p>
      <w:pPr>
        <w:pStyle w:val="Heading2"/>
      </w:pPr>
      <w:r>
        <w:t xml:space="preserve">10.1 Conclusion</w:t>
      </w:r>
    </w:p>
    <w:p>
      <w:pPr>
        <w:spacing w:after="200" w:line="360"/>
        <w:jc w:val="both"/>
      </w:pPr>
      <w:r>
        <w:rPr>
          <w:b w:val="false"/>
          <w:bCs w:val="false"/>
          <w:i w:val="false"/>
          <w:iCs w:val="false"/>
        </w:rPr>
        <w:t xml:space="preserve">Vendor360 reframes the neighbourhood store’s backend from passive record-keeping into active, predictive intelligence, while remaining voice-first, offline-first, and accessible to vendors regardless of language or digital literacy. By pairing a context-aware forecasting engine with a frictionless mobile experience, the platform gives small vendors tools that have, until now, been available only to large organised retailers — and, as a byproduct of normal use, opens a credible path toward formal credit for a population that formal lenders currently cannot see.</w:t>
      </w:r>
    </w:p>
    <w:p>
      <w:pPr>
        <w:pStyle w:val="Heading2"/>
      </w:pPr>
      <w:r>
        <w:t xml:space="preserve">10.2 Future Scope</w:t>
      </w:r>
    </w:p>
    <w:p>
      <w:pPr>
        <w:spacing w:after="200" w:line="360"/>
        <w:jc w:val="both"/>
      </w:pPr>
      <w:r>
        <w:rPr>
          <w:b w:val="false"/>
          <w:bCs w:val="false"/>
          <w:i w:val="false"/>
          <w:iCs w:val="false"/>
        </w:rPr>
        <w:t xml:space="preserve">Beyond the current prototype, three extensions were identified during this project:</w:t>
      </w:r>
    </w:p>
    <w:p>
      <w:pPr>
        <w:pStyle w:val="ListParagraph"/>
        <w:numPr>
          <w:ilvl w:val="0"/>
          <w:numId w:val="3"/>
        </w:numPr>
        <w:spacing w:after="120" w:line="320"/>
      </w:pPr>
      <w:r>
        <w:t xml:space="preserve">Multi-Vendor Collective Bargaining — using the AI engine to identify common shortages across multiple nearby vendors and batch them into a single wholesale order, so small, unorganised vendors can access bulk discounts normally reserved for large supermarkets.</w:t>
      </w:r>
    </w:p>
    <w:p>
      <w:pPr>
        <w:pStyle w:val="ListParagraph"/>
        <w:numPr>
          <w:ilvl w:val="0"/>
          <w:numId w:val="3"/>
        </w:numPr>
        <w:spacing w:after="120" w:line="320"/>
      </w:pPr>
      <w:r>
        <w:t xml:space="preserve">A Zero-Logistics B2B Mediator Track — an alternative, complementary deployment of Vendor360 explored alongside this report, which acts strictly as a digital mediator between vendors, wholesale distributors and mandis, and market data (a B2B co-op group-buying engine, a hyperlocal demand-heatmap dashboard, and smart distributor matching with credit-risk scoring), without owning logistics or delivery. This track — presented as a separate deck accompanying this report — could be piloted independently or ahead of the full predictive platform, since it requires no on-ground fulfilment infrastructure.</w:t>
      </w:r>
    </w:p>
    <w:p>
      <w:pPr>
        <w:pStyle w:val="ListParagraph"/>
        <w:numPr>
          <w:ilvl w:val="0"/>
          <w:numId w:val="3"/>
        </w:numPr>
        <w:spacing w:after="120" w:line="320"/>
      </w:pPr>
      <w:r>
        <w:t xml:space="preserve">Pilot Partnerships — validating the Health Score against real repayment behaviour in partnership with a licensed NBFC or micro-finance institution, and expanding vernacular coverage across additional Indian languages supported by Bhashini.</w:t>
      </w:r>
    </w:p>
    <w:p>
      <w:pPr>
        <w:pStyle w:val="Heading1"/>
        <w:pageBreakBefore/>
      </w:pPr>
      <w:r>
        <w:t xml:space="preserve">References</w:t>
      </w:r>
    </w:p>
    <w:p>
      <w:pPr>
        <w:pStyle w:val="ListParagraph"/>
        <w:numPr>
          <w:ilvl w:val="0"/>
          <w:numId w:val="4"/>
        </w:numPr>
        <w:spacing w:after="140" w:line="320"/>
      </w:pPr>
      <w:r>
        <w:t xml:space="preserve">Invest India, “Modernization of Kirana Stores in India,” investindia.gov.in, 2025.</w:t>
      </w:r>
    </w:p>
    <w:p>
      <w:pPr>
        <w:pStyle w:val="ListParagraph"/>
        <w:numPr>
          <w:ilvl w:val="0"/>
          <w:numId w:val="4"/>
        </w:numPr>
        <w:spacing w:after="140" w:line="320"/>
      </w:pPr>
      <w:r>
        <w:t xml:space="preserve">CB Insights Research, “Digitizing the Kirana Store: India’s Retail Opportunity,” cbinsights.com, 2025.</w:t>
      </w:r>
    </w:p>
    <w:p>
      <w:pPr>
        <w:pStyle w:val="ListParagraph"/>
        <w:numPr>
          <w:ilvl w:val="0"/>
          <w:numId w:val="4"/>
        </w:numPr>
        <w:spacing w:after="140" w:line="320"/>
      </w:pPr>
      <w:r>
        <w:t xml:space="preserve">RELEX Solutions, “Machine Learning in Retail Demand Forecasting,” relexsolutions.com, 2025.</w:t>
      </w:r>
    </w:p>
    <w:p>
      <w:pPr>
        <w:pStyle w:val="ListParagraph"/>
        <w:numPr>
          <w:ilvl w:val="0"/>
          <w:numId w:val="4"/>
        </w:numPr>
        <w:spacing w:after="140" w:line="320"/>
      </w:pPr>
      <w:r>
        <w:t xml:space="preserve">International Journal of Science and Advanced Technology (IJSAT), “AI-Driven Demand Forecasting in Enterprise Retail Systems,” ijsat.org, 2025.</w:t>
      </w:r>
    </w:p>
    <w:p>
      <w:pPr>
        <w:pStyle w:val="ListParagraph"/>
        <w:numPr>
          <w:ilvl w:val="0"/>
          <w:numId w:val="4"/>
        </w:numPr>
        <w:spacing w:after="140" w:line="320"/>
      </w:pPr>
      <w:r>
        <w:t xml:space="preserve">Press Information Bureau, Government of India, “Digital India BHASHINI Division Showcases Voice-First Multilingual AI,” pib.gov.in, 2026.</w:t>
      </w:r>
    </w:p>
    <w:p>
      <w:pPr>
        <w:pStyle w:val="ListParagraph"/>
        <w:numPr>
          <w:ilvl w:val="0"/>
          <w:numId w:val="4"/>
        </w:numPr>
        <w:spacing w:after="140" w:line="320"/>
      </w:pPr>
      <w:r>
        <w:t xml:space="preserve">GeeksforGeeks, “ONDC: Open Network for Digital Commerce,” geeksforgeeks.org, 2025.</w:t>
      </w:r>
    </w:p>
    <w:p>
      <w:pPr>
        <w:pStyle w:val="ListParagraph"/>
        <w:numPr>
          <w:ilvl w:val="0"/>
          <w:numId w:val="4"/>
        </w:numPr>
        <w:spacing w:after="140" w:line="320"/>
      </w:pPr>
      <w:r>
        <w:t xml:space="preserve">India Development Review (IDR), “Reimagining How India’s MSMEs Access Credit,” idronline.org, 2025.</w:t>
      </w:r>
    </w:p>
    <w:p>
      <w:pPr>
        <w:pStyle w:val="ListParagraph"/>
        <w:numPr>
          <w:ilvl w:val="0"/>
          <w:numId w:val="4"/>
        </w:numPr>
        <w:spacing w:after="140" w:line="320"/>
      </w:pPr>
      <w:r>
        <w:t xml:space="preserve">RiskSeal, “Alternative Credit Scoring in India: Lending Beyond Banks,” riskseal.io, 2025.</w:t>
      </w:r>
    </w:p>
    <w:p>
      <w:pPr>
        <w:pStyle w:val="ListParagraph"/>
        <w:numPr>
          <w:ilvl w:val="0"/>
          <w:numId w:val="4"/>
        </w:numPr>
        <w:spacing w:after="140" w:line="320"/>
      </w:pPr>
      <w:r>
        <w:t xml:space="preserve">YuVerse.ai, “Using Alternative Data to Score MSME Borrowers Without Financial History,” yuverse.ai, 2025.</w:t>
      </w:r>
    </w:p>
    <w:p>
      <w:pPr>
        <w:pStyle w:val="ListParagraph"/>
        <w:numPr>
          <w:ilvl w:val="0"/>
          <w:numId w:val="4"/>
        </w:numPr>
        <w:spacing w:after="140" w:line="320"/>
      </w:pPr>
      <w:r>
        <w:t xml:space="preserve">Policy Circle, “India’s MSMEs Face a ₹25 Lakh Crore Credit Gap — Can E-Commerce Play White Knight?,” policycircle.org, 2025.</w:t>
      </w:r>
    </w:p>
    <w:sectPr>
      <w:headerReference w:type="default" r:id="rId11"/>
      <w:footerReference w:type="default" r:id="rId12"/>
      <w:pgSz w:w="11908" w:h="16833" w:orient="portrait"/>
      <w:pgMar w:top="1440" w:right="1440" w:bottom="1440" w:left="1800" w:header="708" w:footer="708" w:gutter="0"/>
      <w:pgNumType w:start="1"/>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BDE" w:sz="4" w:space="4"/>
      </w:pBdr>
      <w:jc w:val="center"/>
    </w:pPr>
    <w:r>
      <w:rPr>
        <w:color w:val="5B5F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BDE" w:sz="4" w:space="4"/>
      </w:pBdr>
      <w:tabs>
        <w:tab w:val="right" w:pos="9026"/>
      </w:tabs>
    </w:pPr>
    <w:r>
      <w:rPr>
        <w:color w:val="5B5F7A"/>
        <w:sz w:val="18"/>
        <w:szCs w:val="18"/>
      </w:rPr>
      <w:t xml:space="preserve">Vendor360 — Mini-Project Report</w:t>
    </w:r>
    <w:r>
      <w:rPr>
        <w:color w:val="5B5F7A"/>
        <w:sz w:val="18"/>
        <w:szCs w:val="18"/>
      </w:rPr>
      <w:t xml:space="preserve">	Dept. of Computer Science and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20"/>
      <w:jc w:val="left"/>
      <w:outlineLvl w:val="0"/>
    </w:pPr>
    <w:rPr>
      <w:rFonts w:ascii="Times New Roman" w:cs="Times New Roman" w:eastAsia="Times New Roman" w:hAnsi="Times New Roman"/>
      <w:b/>
      <w:bCs/>
      <w:color w:val="1B1E3C"/>
      <w:sz w:val="32"/>
      <w:szCs w:val="32"/>
    </w:rPr>
  </w:style>
  <w:style w:type="paragraph" w:styleId="Heading2">
    <w:name w:val="Heading 2"/>
    <w:basedOn w:val="Normal"/>
    <w:next w:val="Normal"/>
    <w:qFormat/>
    <w:pPr>
      <w:keepNext/>
      <w:spacing w:after="140" w:before="280"/>
      <w:jc w:val="left"/>
      <w:outlineLvl w:val="1"/>
    </w:pPr>
    <w:rPr>
      <w:rFonts w:ascii="Times New Roman" w:cs="Times New Roman" w:eastAsia="Times New Roman" w:hAnsi="Times New Roman"/>
      <w:b/>
      <w:bCs/>
      <w:color w:val="1B1E3C"/>
      <w:sz w:val="26"/>
      <w:szCs w:val="26"/>
    </w:rPr>
  </w:style>
  <w:style w:type="paragraph" w:styleId="Title">
    <w:name w:val="Title"/>
    <w:basedOn w:val="Normal"/>
    <w:next w:val="Normal"/>
    <w:qFormat/>
    <w:pPr>
      <w:spacing w:after="200" w:before="0"/>
      <w:jc w:val="center"/>
    </w:pPr>
    <w:rPr>
      <w:rFonts w:ascii="Times New Roman" w:cs="Times New Roman" w:eastAsia="Times New Roman" w:hAnsi="Times New Roman"/>
      <w:b/>
      <w:bCs/>
      <w:color w:val="1B1E3C"/>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0bb02669e1ff4815d729eb22b277cffaa703b020.png"/><Relationship Id="rId14" Type="http://schemas.openxmlformats.org/officeDocument/2006/relationships/image" Target="media/363490a420b4647a2c837d85b1706c9fec5105b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2026-08-06T07:04:54.499Z</dcterms:created>
  <dcterms:modified xsi:type="dcterms:W3CDTF">2026-08-06T07:04:54.499Z</dcterms:modified>
</cp:coreProperties>
</file>

<file path=docProps/custom.xml><?xml version="1.0" encoding="utf-8"?>
<Properties xmlns="http://schemas.openxmlformats.org/officeDocument/2006/custom-properties" xmlns:vt="http://schemas.openxmlformats.org/officeDocument/2006/docPropsVTypes"/>
</file>