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  <w:jc w:val="center"/>
      </w:pPr>
      <w:r>
        <w:drawing>
          <wp:inline distT="0" distB="0" distL="0" distR="0">
            <wp:extent cx="4000500" cy="676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0"/>
        <w:jc w:val="center"/>
      </w:pPr>
      <w:r>
        <w:rPr>
          <w:b/>
          <w:bCs/>
          <w:caps/>
          <w:color w:val="5B5F7A"/>
          <w:sz w:val="24"/>
          <w:szCs w:val="24"/>
        </w:rPr>
        <w:t xml:space="preserve">SYNOPSIS OF MINI-PROJECT</w:t>
      </w:r>
    </w:p>
    <w:p>
      <w:pPr>
        <w:pStyle w:val="Title"/>
      </w:pPr>
      <w:r>
        <w:t xml:space="preserve">Vendor360</w:t>
      </w:r>
    </w:p>
    <w:p>
      <w:pPr>
        <w:spacing w:after="500"/>
        <w:jc w:val="center"/>
      </w:pPr>
      <w:r>
        <w:rPr>
          <w:i/>
          <w:iCs/>
          <w:color w:val="5B5F7A"/>
          <w:sz w:val="26"/>
          <w:szCs w:val="26"/>
        </w:rPr>
        <w:t xml:space="preserve">AI-Powered Predictive Intelligence for India’s Local Vendors</w:t>
      </w:r>
    </w:p>
    <w:p>
      <w:pPr>
        <w:spacing w:after="100" w:before="200"/>
        <w:jc w:val="center"/>
      </w:pPr>
      <w:r>
        <w:rPr>
          <w:sz w:val="22"/>
          <w:szCs w:val="22"/>
        </w:rPr>
        <w:t xml:space="preserve">Submitted in partial fulfilment of the requirements for the degree of</w:t>
      </w:r>
    </w:p>
    <w:p>
      <w:pPr>
        <w:spacing w:after="500"/>
        <w:jc w:val="center"/>
      </w:pPr>
      <w:r>
        <w:rPr>
          <w:b/>
          <w:bCs/>
          <w:sz w:val="22"/>
          <w:szCs w:val="22"/>
        </w:rPr>
        <w:t xml:space="preserve">Bachelor of Engineering in Computer Science and Engineering</w:t>
      </w:r>
    </w:p>
    <w:p>
      <w:pPr>
        <w:spacing w:after="80"/>
        <w:jc w:val="center"/>
      </w:pPr>
      <w:r>
        <w:rPr>
          <w:b/>
          <w:bCs/>
          <w:sz w:val="22"/>
          <w:szCs w:val="22"/>
        </w:rPr>
        <w:t xml:space="preserve">Submitted by</w:t>
      </w:r>
    </w:p>
    <w:p>
      <w:pPr>
        <w:spacing w:after="60"/>
        <w:jc w:val="center"/>
      </w:pPr>
      <w:r>
        <w:rPr>
          <w:sz w:val="22"/>
          <w:szCs w:val="22"/>
        </w:rPr>
        <w:t xml:space="preserve">[Student Name 1]  —  [Roll No.]</w:t>
      </w:r>
    </w:p>
    <w:p>
      <w:pPr>
        <w:spacing w:after="60"/>
        <w:jc w:val="center"/>
      </w:pPr>
      <w:r>
        <w:rPr>
          <w:sz w:val="22"/>
          <w:szCs w:val="22"/>
        </w:rPr>
        <w:t xml:space="preserve">[Student Name 2]  —  [Roll No.]</w:t>
      </w:r>
    </w:p>
    <w:p>
      <w:pPr>
        <w:spacing w:after="60"/>
        <w:jc w:val="center"/>
      </w:pPr>
      <w:r>
        <w:rPr>
          <w:sz w:val="22"/>
          <w:szCs w:val="22"/>
        </w:rPr>
        <w:t xml:space="preserve">[Student Name 3]  —  [Roll No.]</w:t>
      </w:r>
    </w:p>
    <w:p>
      <w:pPr>
        <w:spacing w:after="60"/>
        <w:jc w:val="center"/>
      </w:pPr>
      <w:r>
        <w:rPr>
          <w:sz w:val="22"/>
          <w:szCs w:val="22"/>
        </w:rPr>
        <w:t xml:space="preserve">[Student Name 4]  —  [Roll No.]</w:t>
      </w:r>
    </w:p>
    <w:p>
      <w:pPr>
        <w:spacing w:after="60" w:before="300"/>
        <w:jc w:val="center"/>
      </w:pPr>
      <w:r>
        <w:rPr>
          <w:sz w:val="22"/>
          <w:szCs w:val="22"/>
        </w:rPr>
        <w:t xml:space="preserve">Under the guidance of</w:t>
      </w:r>
    </w:p>
    <w:p>
      <w:pPr>
        <w:spacing w:after="500"/>
        <w:jc w:val="center"/>
      </w:pPr>
      <w:r>
        <w:rPr>
          <w:b/>
          <w:bCs/>
          <w:sz w:val="22"/>
          <w:szCs w:val="22"/>
        </w:rPr>
        <w:t xml:space="preserve">[Guide Name]</w:t>
      </w:r>
    </w:p>
    <w:p>
      <w:pPr>
        <w:spacing w:after="20"/>
        <w:jc w:val="center"/>
      </w:pPr>
      <w:r>
        <w:rPr>
          <w:sz w:val="22"/>
          <w:szCs w:val="22"/>
        </w:rPr>
        <w:t xml:space="preserve">Department of Computer Science and Engineering</w:t>
      </w:r>
    </w:p>
    <w:p>
      <w:pPr>
        <w:spacing w:after="20"/>
        <w:jc w:val="center"/>
      </w:pPr>
      <w:r>
        <w:rPr>
          <w:sz w:val="22"/>
          <w:szCs w:val="22"/>
        </w:rPr>
        <w:t xml:space="preserve">School of Engineering</w:t>
      </w:r>
    </w:p>
    <w:p>
      <w:pPr>
        <w:spacing w:after="20"/>
        <w:jc w:val="center"/>
      </w:pPr>
      <w:r>
        <w:rPr>
          <w:b/>
          <w:bCs/>
          <w:sz w:val="22"/>
          <w:szCs w:val="22"/>
        </w:rPr>
        <w:t xml:space="preserve">Ajeenkya D Y Patil University, Pune</w:t>
      </w:r>
    </w:p>
    <w:p>
      <w:pPr>
        <w:spacing w:after="0"/>
        <w:jc w:val="center"/>
      </w:pPr>
      <w:r>
        <w:rPr>
          <w:color w:val="5B5F7A"/>
          <w:sz w:val="22"/>
          <w:szCs w:val="22"/>
        </w:rPr>
        <w:t xml:space="preserve">[Academic Year, e.g. 2026–27]</w:t>
      </w:r>
    </w:p>
    <w:p>
      <w:pPr>
        <w:pageBreakBefore/>
      </w:pPr>
    </w:p>
    <w:p>
      <w:pPr>
        <w:pStyle w:val="Heading1"/>
      </w:pPr>
      <w:r>
        <w:t xml:space="preserve">1. Introduction</w:t>
      </w:r>
    </w:p>
    <w:p>
      <w:pPr>
        <w:spacing w:after="200" w:line="360"/>
        <w:jc w:val="both"/>
      </w:pPr>
      <w:r>
        <w:rPr>
          <w:b w:val="false"/>
          <w:bCs w:val="false"/>
          <w:i w:val="false"/>
          <w:iCs w:val="false"/>
        </w:rPr>
        <w:t xml:space="preserve">Over 12 million kirana and neighbourhood stores form the backbone of India’s retail economy, accounting for roughly 74% of retail market share and nearly 90% of FMCG sales nationwide. Yet most of these vendors still manage inventory with a notebook, memory, and instinct — restocking only after shelves empty, over-ordering perishables that spoil, and having no way to anticipate a sudden spike in demand around weather events or regional festivals.</w:t>
      </w:r>
    </w:p>
    <w:p>
      <w:pPr>
        <w:spacing w:after="200" w:line="360"/>
        <w:jc w:val="both"/>
      </w:pPr>
      <w:r>
        <w:rPr>
          <w:b w:val="false"/>
          <w:bCs w:val="false"/>
          <w:i w:val="false"/>
          <w:iCs w:val="false"/>
        </w:rPr>
        <w:t xml:space="preserve">Vendor360 is a FastAPI + Flutter platform that reframes the vendor’s phone as a predictive command centre. Rather than simply logging what sold, as existing digital-ledger apps do, it forecasts what will sell next, captures stock updates through vernacular voice input, and builds a verifiable financial track record for vendors who are otherwise invisible to formal lenders.</w:t>
      </w:r>
    </w:p>
    <w:p>
      <w:pPr>
        <w:pStyle w:val="Heading1"/>
      </w:pPr>
      <w:r>
        <w:t xml:space="preserve">2. Problem Statement</w:t>
      </w:r>
    </w:p>
    <w:p>
      <w:pPr>
        <w:spacing w:after="200" w:line="360"/>
        <w:jc w:val="both"/>
      </w:pPr>
      <w:r>
        <w:rPr>
          <w:b w:val="false"/>
          <w:bCs w:val="false"/>
          <w:i w:val="false"/>
          <w:iCs w:val="false"/>
        </w:rPr>
        <w:t xml:space="preserve">Existing solutions for India’s informal retail sector — Khatabook, OkCredit, Vyapar — digitise credit ledgers and basic stock counts, but none of them forecast demand from external, real-world signals; none offer a truly vernacular, voice-first data-entry workflow; and none convert day-to-day operating discipline into a verifiable footprint that a lender can act on. This leaves the majority of India’s micro-vendors — an estimated 85–90% of whom have no access to formal credit — locked out of both predictive tooling and financial inclusion.</w:t>
      </w:r>
    </w:p>
    <w:p>
      <w:pPr>
        <w:pStyle w:val="Heading1"/>
      </w:pPr>
      <w:r>
        <w:t xml:space="preserve">3. Objectives</w:t>
      </w:r>
    </w:p>
    <w:p>
      <w:pPr>
        <w:pStyle w:val="ListParagraph"/>
        <w:numPr>
          <w:ilvl w:val="0"/>
          <w:numId w:val="2"/>
        </w:numPr>
        <w:spacing w:after="140" w:line="320"/>
      </w:pPr>
      <w:r>
        <w:t xml:space="preserve">Design a context-aware demand forecasting engine that ingests weather and regional festival signals.</w:t>
      </w:r>
    </w:p>
    <w:p>
      <w:pPr>
        <w:pStyle w:val="ListParagraph"/>
        <w:numPr>
          <w:ilvl w:val="0"/>
          <w:numId w:val="2"/>
        </w:numPr>
        <w:spacing w:after="140" w:line="320"/>
      </w:pPr>
      <w:r>
        <w:t xml:space="preserve">Implement dynamic, ML-driven safety-stock modelling tailored to each perishable category.</w:t>
      </w:r>
    </w:p>
    <w:p>
      <w:pPr>
        <w:pStyle w:val="ListParagraph"/>
        <w:numPr>
          <w:ilvl w:val="0"/>
          <w:numId w:val="2"/>
        </w:numPr>
        <w:spacing w:after="140" w:line="320"/>
      </w:pPr>
      <w:r>
        <w:t xml:space="preserve">Build a zero-friction, vernacular voice-to-inventory logging workflow using the Bhashini ASR API.</w:t>
      </w:r>
    </w:p>
    <w:p>
      <w:pPr>
        <w:pStyle w:val="ListParagraph"/>
        <w:numPr>
          <w:ilvl w:val="0"/>
          <w:numId w:val="2"/>
        </w:numPr>
        <w:spacing w:after="140" w:line="320"/>
      </w:pPr>
      <w:r>
        <w:t xml:space="preserve">Enable OCR-based wholesale receipt scanning for automatic expiry and shelf-life tracking.</w:t>
      </w:r>
    </w:p>
    <w:p>
      <w:pPr>
        <w:pStyle w:val="ListParagraph"/>
        <w:numPr>
          <w:ilvl w:val="0"/>
          <w:numId w:val="2"/>
        </w:numPr>
        <w:spacing w:after="140" w:line="320"/>
      </w:pPr>
      <w:r>
        <w:t xml:space="preserve">Deliver an offline-first mobile architecture with reliable multi-device cloud synchronisation.</w:t>
      </w:r>
    </w:p>
    <w:p>
      <w:pPr>
        <w:pStyle w:val="ListParagraph"/>
        <w:numPr>
          <w:ilvl w:val="0"/>
          <w:numId w:val="2"/>
        </w:numPr>
        <w:spacing w:after="140" w:line="320"/>
      </w:pPr>
      <w:r>
        <w:t xml:space="preserve">Generate a verifiable vendor “Health Score” that can support micro-credit assessment.</w:t>
      </w:r>
    </w:p>
    <w:p>
      <w:pPr>
        <w:pStyle w:val="Heading1"/>
      </w:pPr>
      <w:r>
        <w:t xml:space="preserve">4. Proposed Methodology</w:t>
      </w:r>
    </w:p>
    <w:p>
      <w:pPr>
        <w:spacing w:after="200" w:line="360"/>
        <w:jc w:val="both"/>
      </w:pPr>
      <w:r>
        <w:rPr>
          <w:b w:val="false"/>
          <w:bCs w:val="false"/>
          <w:i w:val="false"/>
          <w:iCs w:val="false"/>
        </w:rPr>
        <w:t xml:space="preserve">The project follows an applied, experimental research approach: a working prototype is designed, built, and evaluated against realistic vendor-usage scenarios. The FastAPI backend ingests voice-transcribed sales logs, OCR’d wholesale receipts, and external weather / festival-calendar data, feeding an ML forecasting layer (regression and time-series methods such as Prophet) that computes demand predictions and dynamic safety-stock thresholds. The Flutter mobile application surfaces these as plain-language restock alerts, captures new data through voice and camera input, and caches everything locally so the vendor’s workflow never depends on a live connection.</w:t>
      </w:r>
    </w:p>
    <w:p>
      <w:pPr>
        <w:spacing w:after="200" w:line="360"/>
        <w:jc w:val="both"/>
      </w:pPr>
      <w:r>
        <w:rPr>
          <w:b w:val="false"/>
          <w:bCs w:val="false"/>
          <w:i w:val="false"/>
          <w:iCs w:val="false"/>
        </w:rPr>
        <w:t xml:space="preserve">Technology stack: Python 3.11+ and FastAPI for the backend; scikit-learn / Prophet for forecasting; Supabase (PostgreSQL) for the managed cloud database with local offline caching; Flutter (Dart) for a single Android/iOS codebase; and the Bhashini API for vernacular speech-to-text.</w:t>
      </w:r>
    </w:p>
    <w:p>
      <w:pPr>
        <w:pStyle w:val="Heading1"/>
      </w:pPr>
      <w:r>
        <w:t xml:space="preserve">5. Expected Outcomes</w:t>
      </w:r>
    </w:p>
    <w:p>
      <w:pPr>
        <w:pStyle w:val="ListParagraph"/>
        <w:numPr>
          <w:ilvl w:val="0"/>
          <w:numId w:val="3"/>
        </w:numPr>
        <w:spacing w:after="120" w:line="320"/>
      </w:pPr>
      <w:r>
        <w:t xml:space="preserve">Measurably fewer stockouts and less perishable waste through predictive, category-aware restocking.</w:t>
      </w:r>
    </w:p>
    <w:p>
      <w:pPr>
        <w:pStyle w:val="ListParagraph"/>
        <w:numPr>
          <w:ilvl w:val="0"/>
          <w:numId w:val="3"/>
        </w:numPr>
        <w:spacing w:after="120" w:line="320"/>
      </w:pPr>
      <w:r>
        <w:t xml:space="preserve">Voice-based inventory logging in under 10 seconds, replacing minutes of manual typing.</w:t>
      </w:r>
    </w:p>
    <w:p>
      <w:pPr>
        <w:pStyle w:val="ListParagraph"/>
        <w:numPr>
          <w:ilvl w:val="0"/>
          <w:numId w:val="3"/>
        </w:numPr>
        <w:spacing w:after="120" w:line="320"/>
      </w:pPr>
      <w:r>
        <w:t xml:space="preserve">Zero data loss under intermittent connectivity, validated through offline-first sync testing.</w:t>
      </w:r>
    </w:p>
    <w:p>
      <w:pPr>
        <w:pStyle w:val="ListParagraph"/>
        <w:numPr>
          <w:ilvl w:val="0"/>
          <w:numId w:val="3"/>
        </w:numPr>
        <w:spacing w:after="120" w:line="320"/>
      </w:pPr>
      <w:r>
        <w:t xml:space="preserve">A working prototype of the vendor Health Score, ready to be piloted with a micro-finance partner.</w:t>
      </w:r>
    </w:p>
    <w:p>
      <w:pPr>
        <w:pStyle w:val="Heading1"/>
      </w:pPr>
      <w:r>
        <w:t xml:space="preserve">6. Timeline — Mini-Project Phase I (Sem 3)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400"/>
      </w:tblGrid>
      <w:tr>
        <w:trPr>
          <w:tblHeader/>
        </w:trPr>
        <w:tc>
          <w:tcPr>
            <w:tcW w:type="dxa" w:w="700"/>
            <w:shd w:fill="1B1E3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shd w:fill="1B1E3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400"/>
            <w:shd w:fill="1B1E3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7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30 Jul 2026 (Completed)</w:t>
            </w:r>
          </w:p>
        </w:tc>
        <w:tc>
          <w:tcPr>
            <w:tcW w:type="dxa" w:w="64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Project Title Finalization Presentation</w:t>
            </w:r>
          </w:p>
        </w:tc>
      </w:tr>
      <w:tr>
        <w:tc>
          <w:tcPr>
            <w:tcW w:type="dxa" w:w="700"/>
            <w:shd w:fill="F3F3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shd w:fill="F3F3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27 Aug 2026</w:t>
            </w:r>
          </w:p>
        </w:tc>
        <w:tc>
          <w:tcPr>
            <w:tcW w:type="dxa" w:w="6400"/>
            <w:shd w:fill="F3F3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Review 1 — Project Title, Abstract, Introduction, Literature Survey &amp; Block Diagram, presented to the review panel</w:t>
            </w:r>
          </w:p>
        </w:tc>
      </w:tr>
      <w:tr>
        <w:tc>
          <w:tcPr>
            <w:tcW w:type="dxa" w:w="7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18 Nov 2026</w:t>
            </w:r>
          </w:p>
        </w:tc>
        <w:tc>
          <w:tcPr>
            <w:tcW w:type="dxa" w:w="64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Final Presentation — complete project presented before an External Examiner / Industry Expert</w:t>
            </w:r>
          </w:p>
        </w:tc>
      </w:tr>
    </w:tbl>
    <w:p>
      <w:pPr>
        <w:spacing w:after="200" w:line="360"/>
        <w:jc w:val="both"/>
      </w:pPr>
      <w:r>
        <w:rPr>
          <w:b w:val="false"/>
          <w:bCs w:val="false"/>
          <w:i/>
          <w:iCs/>
        </w:rPr>
        <w:t xml:space="preserve">Standard report and poster formats are circulated to the group and via email on an ongoing basis throughout the semester.</w:t>
      </w:r>
    </w:p>
    <w:p>
      <w:pPr>
        <w:pStyle w:val="Heading1"/>
      </w:pPr>
      <w:r>
        <w:t xml:space="preserve">References</w:t>
      </w:r>
    </w:p>
    <w:p>
      <w:pPr>
        <w:pStyle w:val="ListParagraph"/>
        <w:numPr>
          <w:ilvl w:val="0"/>
          <w:numId w:val="4"/>
        </w:numPr>
        <w:spacing w:after="140" w:line="320"/>
      </w:pPr>
      <w:r>
        <w:t xml:space="preserve">Invest India, “Modernization of Kirana Stores in India,” investindia.gov.in, 2025.</w:t>
      </w:r>
    </w:p>
    <w:p>
      <w:pPr>
        <w:pStyle w:val="ListParagraph"/>
        <w:numPr>
          <w:ilvl w:val="0"/>
          <w:numId w:val="4"/>
        </w:numPr>
        <w:spacing w:after="140" w:line="320"/>
      </w:pPr>
      <w:r>
        <w:t xml:space="preserve">CB Insights Research, “Digitizing the Kirana Store: India’s Retail Opportunity,” 2025.</w:t>
      </w:r>
    </w:p>
    <w:p>
      <w:pPr>
        <w:pStyle w:val="ListParagraph"/>
        <w:numPr>
          <w:ilvl w:val="0"/>
          <w:numId w:val="4"/>
        </w:numPr>
        <w:spacing w:after="140" w:line="320"/>
      </w:pPr>
      <w:r>
        <w:t xml:space="preserve">RELEX Solutions, “Machine Learning in Retail Demand Forecasting,” 2025.</w:t>
      </w:r>
    </w:p>
    <w:p>
      <w:pPr>
        <w:pStyle w:val="ListParagraph"/>
        <w:numPr>
          <w:ilvl w:val="0"/>
          <w:numId w:val="4"/>
        </w:numPr>
        <w:spacing w:after="140" w:line="320"/>
      </w:pPr>
      <w:r>
        <w:t xml:space="preserve">Press Information Bureau, Government of India, “Digital India BHASHINI Division,” 2026.</w:t>
      </w:r>
    </w:p>
    <w:p>
      <w:pPr>
        <w:pStyle w:val="ListParagraph"/>
        <w:numPr>
          <w:ilvl w:val="0"/>
          <w:numId w:val="4"/>
        </w:numPr>
        <w:spacing w:after="140" w:line="320"/>
      </w:pPr>
      <w:r>
        <w:t xml:space="preserve">India Development Review (IDR), “Reimagining How India’s MSMEs Access Credit,” 2025.</w:t>
      </w:r>
    </w:p>
    <w:p>
      <w:pPr>
        <w:pStyle w:val="ListParagraph"/>
        <w:numPr>
          <w:ilvl w:val="0"/>
          <w:numId w:val="4"/>
        </w:numPr>
        <w:spacing w:after="140" w:line="320"/>
      </w:pPr>
      <w:r>
        <w:t xml:space="preserve">RiskSeal, “Alternative Credit Scoring in India: Lending Beyond Banks,” 2025.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8" w:h="16833" w:orient="portrait"/>
      <w:pgMar w:top="1440" w:right="1440" w:bottom="1440" w:left="180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CBDE" w:sz="4" w:space="4"/>
      </w:pBdr>
      <w:jc w:val="center"/>
    </w:pPr>
    <w:r>
      <w:rPr>
        <w:color w:val="5B5F7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A1A1A"/>
        <w:sz w:val="24"/>
        <w:szCs w:val="24"/>
      </w:rPr>
    </w:rPrDefault>
    <w:pPrDefault>
      <w:pPr>
        <w:spacing w:line="360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420"/>
      <w:jc w:val="left"/>
      <w:outlineLvl w:val="0"/>
    </w:pPr>
    <w:rPr>
      <w:rFonts w:ascii="Times New Roman" w:cs="Times New Roman" w:eastAsia="Times New Roman" w:hAnsi="Times New Roman"/>
      <w:b/>
      <w:bCs/>
      <w:color w:val="1B1E3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40" w:before="280"/>
      <w:jc w:val="left"/>
      <w:outlineLvl w:val="1"/>
    </w:pPr>
    <w:rPr>
      <w:rFonts w:ascii="Times New Roman" w:cs="Times New Roman" w:eastAsia="Times New Roman" w:hAnsi="Times New Roman"/>
      <w:b/>
      <w:bCs/>
      <w:color w:val="1B1E3C"/>
      <w:sz w:val="26"/>
      <w:szCs w:val="26"/>
    </w:rPr>
  </w:style>
  <w:style w:type="paragraph" w:styleId="Title">
    <w:name w:val="Title"/>
    <w:basedOn w:val="Normal"/>
    <w:next w:val="Normal"/>
    <w:qFormat/>
    <w:pPr>
      <w:spacing w:after="200" w:before="0"/>
      <w:jc w:val="center"/>
    </w:pPr>
    <w:rPr>
      <w:rFonts w:ascii="Times New Roman" w:cs="Times New Roman" w:eastAsia="Times New Roman" w:hAnsi="Times New Roman"/>
      <w:b/>
      <w:bCs/>
      <w:color w:val="1B1E3C"/>
      <w:sz w:val="56"/>
      <w:szCs w:val="5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0bb02669e1ff4815d729eb22b277cffaa703b020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2026-08-06T07:04:38.999Z</dcterms:created>
  <dcterms:modified xsi:type="dcterms:W3CDTF">2026-08-06T07:04:38.999Z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