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rFonts w:ascii="Calibri" w:cs="Calibri" w:eastAsia="Calibri" w:hAnsi="Calibri"/>
          <w:b/>
          <w:bCs/>
          <w:color w:val="D98A0F"/>
          <w:spacing w:val="40"/>
          <w:sz w:val="24"/>
          <w:szCs w:val="24"/>
        </w:rPr>
        <w:t xml:space="preserve">UI/UX DESIGN GUIDE</w:t>
      </w:r>
    </w:p>
    <w:p>
      <w:pPr>
        <w:spacing w:after="200" w:before="200"/>
        <w:jc w:val="center"/>
      </w:pPr>
      <w:r>
        <w:rPr>
          <w:rFonts w:ascii="Cambria" w:cs="Cambria" w:eastAsia="Cambria" w:hAnsi="Cambria"/>
          <w:b/>
          <w:bCs/>
          <w:color w:val="0A5A4F"/>
          <w:sz w:val="56"/>
          <w:szCs w:val="56"/>
        </w:rPr>
        <w:t xml:space="preserve">Vendor360</w:t>
      </w:r>
    </w:p>
    <w:p>
      <w:pPr>
        <w:spacing w:after="1200"/>
        <w:jc w:val="center"/>
      </w:pPr>
      <w:r>
        <w:rPr>
          <w:rFonts w:ascii="Calibri" w:cs="Calibri" w:eastAsia="Calibri" w:hAnsi="Calibri"/>
          <w:color w:val="5B6B67"/>
          <w:sz w:val="24"/>
          <w:szCs w:val="24"/>
        </w:rPr>
        <w:t xml:space="preserve">Visual design theme, component patterns, and screen-by-screen UX notes for the vendor mobile app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2E2A"/>
          <w:sz w:val="20"/>
          <w:szCs w:val="20"/>
        </w:rPr>
        <w:t xml:space="preserve">Vendor360 — AI-Powered Predictive Intelligence for India’s Local Vendors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B6B67"/>
          <w:sz w:val="18"/>
          <w:szCs w:val="18"/>
        </w:rPr>
        <w:t xml:space="preserve">Mini-Project · Phase I · Semester 3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5B6B67"/>
          <w:sz w:val="18"/>
          <w:szCs w:val="18"/>
        </w:rPr>
        <w:t xml:space="preserve">Ajeenkya D Y Patil University, Pune — School of Engineering</w:t>
      </w:r>
    </w:p>
    <w:p>
      <w:r>
        <w:br w:type="page"/>
      </w:r>
    </w:p>
    <w:p>
      <w:pPr>
        <w:pStyle w:val="Heading1"/>
        <w:pBdr>
          <w:bottom w:val="single" w:color="0F7A6B" w:sz="6" w:space="6"/>
        </w:pBdr>
        <w:spacing w:after="160" w:before="340"/>
      </w:pPr>
      <w:r>
        <w:rPr>
          <w:rFonts w:ascii="Cambria" w:cs="Cambria" w:eastAsia="Cambria" w:hAnsi="Cambria"/>
          <w:b/>
          <w:bCs/>
          <w:color w:val="0A5A4F"/>
          <w:sz w:val="30"/>
          <w:szCs w:val="30"/>
        </w:rPr>
        <w:t xml:space="preserve">1. Design Philosophy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Vendor360’s mobile experience is built for a first-time smartphone user standing behind a counter, often mid-transaction, in variable light and patchy connectivity. Every screen is optimised for one-handed, low-attention use: large touch targets, minimal text entry, voice as the default input, and immediate visual confirmation of every action.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Voice-first — the microphone is always the primary, most prominent action on any data-entry screen; typing is a fallback, not the default.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Glanceable — key numbers (stock levels, health score, today’s forecast) are readable in under two seconds, in bright sunlight, at arm’s length.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Forgiving — every voice/OCR entry shows a confirm step before committing, since ASR and OCR are imperfect and trust must be earned.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Warm, not corporate — the visual language uses warm saffron accents against a calm teal to feel approachable rather than clinical, deliberately distinct from generic blue enterprise software.</w:t>
      </w:r>
    </w:p>
    <w:p>
      <w:pPr>
        <w:pStyle w:val="Heading1"/>
        <w:pBdr>
          <w:bottom w:val="single" w:color="0F7A6B" w:sz="6" w:space="6"/>
        </w:pBdr>
        <w:spacing w:after="160" w:before="340"/>
      </w:pPr>
      <w:r>
        <w:rPr>
          <w:rFonts w:ascii="Cambria" w:cs="Cambria" w:eastAsia="Cambria" w:hAnsi="Cambria"/>
          <w:b/>
          <w:bCs/>
          <w:color w:val="0A5A4F"/>
          <w:sz w:val="30"/>
          <w:szCs w:val="30"/>
        </w:rPr>
        <w:t xml:space="preserve">2. Colour Palette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The product palette is intentionally distinct from the university/academic report branding — it is meant to feel like a consumer product, not a research document.</w:t>
      </w:r>
    </w:p>
    <w:tbl>
      <w:tblPr>
        <w:tblW w:type="dxa" w:w="9200"/>
        <w:tblBorders>
          <w:top w:val="single" w:color="D8E4E1" w:sz="2"/>
          <w:left w:val="single" w:color="D8E4E1" w:sz="2"/>
          <w:bottom w:val="single" w:color="D8E4E1" w:sz="2"/>
          <w:right w:val="single" w:color="D8E4E1" w:sz="2"/>
          <w:insideH w:val="single" w:color="D8E4E1" w:sz="2"/>
          <w:insideV w:val="single" w:color="D8E4E1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Swatch</w:t>
            </w:r>
          </w:p>
        </w:tc>
        <w:tc>
          <w:tcPr>
            <w:tcW w:type="dxa" w:w="22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42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12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█████</w:t>
            </w:r>
          </w:p>
        </w:tc>
        <w:tc>
          <w:tcPr>
            <w:tcW w:type="dxa" w:w="22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Primary Teal</w:t>
            </w:r>
          </w:p>
        </w:tc>
        <w:tc>
          <w:tcPr>
            <w:tcW w:type="dxa" w:w="16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#0F7A6B</w:t>
            </w:r>
          </w:p>
        </w:tc>
        <w:tc>
          <w:tcPr>
            <w:tcW w:type="dxa" w:w="42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Primary actions, headers, active nav states</w:t>
            </w:r>
          </w:p>
        </w:tc>
      </w:tr>
      <w:tr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█████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Teal Dark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#0A5A4F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Header text, high-emphasis labels</w:t>
            </w:r>
          </w:p>
        </w:tc>
      </w:tr>
      <w:tr>
        <w:tc>
          <w:tcPr>
            <w:tcW w:type="dxa" w:w="12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█████</w:t>
            </w:r>
          </w:p>
        </w:tc>
        <w:tc>
          <w:tcPr>
            <w:tcW w:type="dxa" w:w="22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Amber / Saffron</w:t>
            </w:r>
          </w:p>
        </w:tc>
        <w:tc>
          <w:tcPr>
            <w:tcW w:type="dxa" w:w="16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#D98A0F</w:t>
            </w:r>
          </w:p>
        </w:tc>
        <w:tc>
          <w:tcPr>
            <w:tcW w:type="dxa" w:w="42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Voice mic button, key CTAs, highlights, festival alerts</w:t>
            </w:r>
          </w:p>
        </w:tc>
      </w:tr>
      <w:tr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█████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Background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#FAF9F6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App background — warm off-white, easier on the eyes than pure white</w:t>
            </w:r>
          </w:p>
        </w:tc>
      </w:tr>
      <w:tr>
        <w:tc>
          <w:tcPr>
            <w:tcW w:type="dxa" w:w="12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█████</w:t>
            </w:r>
          </w:p>
        </w:tc>
        <w:tc>
          <w:tcPr>
            <w:tcW w:type="dxa" w:w="22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Text (ink)</w:t>
            </w:r>
          </w:p>
        </w:tc>
        <w:tc>
          <w:tcPr>
            <w:tcW w:type="dxa" w:w="16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#1A2E2A</w:t>
            </w:r>
          </w:p>
        </w:tc>
        <w:tc>
          <w:tcPr>
            <w:tcW w:type="dxa" w:w="42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Primary body and heading text</w:t>
            </w:r>
          </w:p>
        </w:tc>
      </w:tr>
      <w:tr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█████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Muted grey-green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#5B6B67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Secondary/meta text, timestamps, captions</w:t>
            </w:r>
          </w:p>
        </w:tc>
      </w:tr>
      <w:tr>
        <w:tc>
          <w:tcPr>
            <w:tcW w:type="dxa" w:w="12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█████</w:t>
            </w:r>
          </w:p>
        </w:tc>
        <w:tc>
          <w:tcPr>
            <w:tcW w:type="dxa" w:w="22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Border</w:t>
            </w:r>
          </w:p>
        </w:tc>
        <w:tc>
          <w:tcPr>
            <w:tcW w:type="dxa" w:w="16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#D8E4E1</w:t>
            </w:r>
          </w:p>
        </w:tc>
        <w:tc>
          <w:tcPr>
            <w:tcW w:type="dxa" w:w="42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Card borders, dividers</w:t>
            </w:r>
          </w:p>
        </w:tc>
      </w:tr>
      <w:tr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█████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Danger / Alert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#E85D4C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Low-stock warnings, sync errors, expiry alerts</w:t>
            </w:r>
          </w:p>
        </w:tc>
      </w:tr>
    </w:tbl>
    <w:p>
      <w:pPr>
        <w:pStyle w:val="Heading1"/>
        <w:pBdr>
          <w:bottom w:val="single" w:color="0F7A6B" w:sz="6" w:space="6"/>
        </w:pBdr>
        <w:spacing w:after="160" w:before="340"/>
      </w:pPr>
      <w:r>
        <w:rPr>
          <w:rFonts w:ascii="Cambria" w:cs="Cambria" w:eastAsia="Cambria" w:hAnsi="Cambria"/>
          <w:b/>
          <w:bCs/>
          <w:color w:val="0A5A4F"/>
          <w:sz w:val="30"/>
          <w:szCs w:val="30"/>
        </w:rPr>
        <w:t xml:space="preserve">3. Typography</w:t>
      </w:r>
    </w:p>
    <w:tbl>
      <w:tblPr>
        <w:tblW w:type="dxa" w:w="9000"/>
        <w:tblBorders>
          <w:top w:val="single" w:color="D8E4E1" w:sz="2"/>
          <w:left w:val="single" w:color="D8E4E1" w:sz="2"/>
          <w:bottom w:val="single" w:color="D8E4E1" w:sz="2"/>
          <w:right w:val="single" w:color="D8E4E1" w:sz="2"/>
          <w:insideH w:val="single" w:color="D8E4E1" w:sz="2"/>
          <w:insideV w:val="single" w:color="D8E4E1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Style</w:t>
            </w:r>
          </w:p>
        </w:tc>
        <w:tc>
          <w:tcPr>
            <w:tcW w:type="dxa" w:w="26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Typeface</w:t>
            </w:r>
          </w:p>
        </w:tc>
        <w:tc>
          <w:tcPr>
            <w:tcW w:type="dxa" w:w="3800"/>
            <w:shd w:fill="0F7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6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Display / Headings</w:t>
            </w:r>
          </w:p>
        </w:tc>
        <w:tc>
          <w:tcPr>
            <w:tcW w:type="dxa" w:w="26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Poppins SemiBold</w:t>
            </w:r>
          </w:p>
        </w:tc>
        <w:tc>
          <w:tcPr>
            <w:tcW w:type="dxa" w:w="38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Screen titles, key numbers, health score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Body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Poppins Regular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Body copy, list items, form labels</w:t>
            </w:r>
          </w:p>
        </w:tc>
      </w:tr>
      <w:tr>
        <w:tc>
          <w:tcPr>
            <w:tcW w:type="dxa" w:w="26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Numerals (data-heavy)</w:t>
            </w:r>
          </w:p>
        </w:tc>
        <w:tc>
          <w:tcPr>
            <w:tcW w:type="dxa" w:w="26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Poppins Medium, tabular figures</w:t>
            </w:r>
          </w:p>
        </w:tc>
        <w:tc>
          <w:tcPr>
            <w:tcW w:type="dxa" w:w="3800"/>
            <w:shd w:fill="F5FA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Prices, quantities, forecasts — aligned in tables/cards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Minimum size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14sp body / 12sp caption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E2A"/>
                <w:sz w:val="19"/>
                <w:szCs w:val="19"/>
              </w:rPr>
              <w:t xml:space="preserve">Never smaller, to remain legible for low-literacy and older users</w:t>
            </w:r>
          </w:p>
        </w:tc>
      </w:tr>
    </w:tbl>
    <w:p>
      <w:pPr>
        <w:pStyle w:val="Heading1"/>
        <w:pBdr>
          <w:bottom w:val="single" w:color="0F7A6B" w:sz="6" w:space="6"/>
        </w:pBdr>
        <w:spacing w:after="160" w:before="340"/>
      </w:pPr>
      <w:r>
        <w:rPr>
          <w:rFonts w:ascii="Cambria" w:cs="Cambria" w:eastAsia="Cambria" w:hAnsi="Cambria"/>
          <w:b/>
          <w:bCs/>
          <w:color w:val="0A5A4F"/>
          <w:sz w:val="30"/>
          <w:szCs w:val="30"/>
        </w:rPr>
        <w:t xml:space="preserve">4. Core Components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A5A4F"/>
          <w:sz w:val="24"/>
          <w:szCs w:val="24"/>
        </w:rPr>
        <w:t xml:space="preserve">4.1 Phone shell &amp; status bar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A consistent rounded phone frame with a light status bar establishes context across every mockup in this guide; production screens run edge-to-edge with safe-area padding.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A5A4F"/>
          <w:sz w:val="24"/>
          <w:szCs w:val="24"/>
        </w:rPr>
        <w:t xml:space="preserve">4.2 Cards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Content is grouped into rounded white cards (12px radius, subtle border, soft shadow) on the warm background — this creates clear visual separation without heavy dividers or lines.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A5A4F"/>
          <w:sz w:val="24"/>
          <w:szCs w:val="24"/>
        </w:rPr>
        <w:t xml:space="preserve">4.3 Pills &amp; badges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Status indicators (in-stock, low-stock, synced, pending) use small rounded pill badges with a colour-coded fill: teal for healthy states, amber for attention, red for urgent/error states.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A5A4F"/>
          <w:sz w:val="24"/>
          <w:szCs w:val="24"/>
        </w:rPr>
        <w:t xml:space="preserve">4.4 Bottom navigation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A fixed 4–5 item bottom nav bar (Home, Inventory, Voice, Forecast, Health Score) keeps primary destinations one tap away at all times.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A5A4F"/>
          <w:sz w:val="24"/>
          <w:szCs w:val="24"/>
        </w:rPr>
        <w:t xml:space="preserve">4.5 Voice button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The microphone action is rendered as a large circular amber button, always in a fixed, thumb-reachable position, with a pulsing state to confirm active listening.</w:t>
      </w:r>
    </w:p>
    <w:p>
      <w:pPr>
        <w:pStyle w:val="Heading1"/>
        <w:pBdr>
          <w:bottom w:val="single" w:color="0F7A6B" w:sz="6" w:space="6"/>
        </w:pBdr>
        <w:spacing w:after="160" w:before="340"/>
      </w:pPr>
      <w:r>
        <w:rPr>
          <w:rFonts w:ascii="Cambria" w:cs="Cambria" w:eastAsia="Cambria" w:hAnsi="Cambria"/>
          <w:b/>
          <w:bCs/>
          <w:color w:val="0A5A4F"/>
          <w:sz w:val="30"/>
          <w:szCs w:val="30"/>
        </w:rPr>
        <w:t xml:space="preserve">5. Screen-by-Screen UX Notes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A5A4F"/>
          <w:sz w:val="24"/>
          <w:szCs w:val="24"/>
        </w:rPr>
        <w:t xml:space="preserve">5.1 Dashboard (Home)</w:t>
      </w:r>
    </w:p>
    <w:p>
      <w:pPr>
        <w:spacing w:after="40" w:before="120"/>
        <w:jc w:val="center"/>
      </w:pPr>
      <w:r>
        <w:drawing>
          <wp:inline distT="0" distB="0" distL="0" distR="0">
            <wp:extent cx="2000250" cy="444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color w:val="5B6B67"/>
          <w:sz w:val="18"/>
          <w:szCs w:val="18"/>
        </w:rPr>
        <w:t xml:space="preserve">Home dashboard — today’s snapshot: sales, low-stock alerts, and forecast highlight.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Purpose: give the vendor a two-second read on “how is my store doing right now.”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Surfaces: today’s sales total, low-stock item count, and the top upcoming demand signal (e.g. a festival spike).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The voice-entry button is reachable from the dashboard without navigating away, since logging a sale is the highest-frequency action.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A5A4F"/>
          <w:sz w:val="24"/>
          <w:szCs w:val="24"/>
        </w:rPr>
        <w:t xml:space="preserve">5.2 Voice-to-Inventory Entry</w:t>
      </w:r>
    </w:p>
    <w:p>
      <w:pPr>
        <w:spacing w:after="40" w:before="120"/>
        <w:jc w:val="center"/>
      </w:pPr>
      <w:r>
        <w:drawing>
          <wp:inline distT="0" distB="0" distL="0" distR="0">
            <wp:extent cx="2000250" cy="444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color w:val="5B6B67"/>
          <w:sz w:val="18"/>
          <w:szCs w:val="18"/>
        </w:rPr>
        <w:t xml:space="preserve">Voice entry — vendor speaks a stock update; live transcript shown for confirmation before committing.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Purpose: log a sale or restock by speaking, in the vendor’s chosen language, without touching a keyboard.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The live transcript is shown as it is captured so the vendor can visually confirm what was heard before it is applied to inventory.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A single tap corrects a misheard word; the system never silently commits a low-confidence transcription.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A5A4F"/>
          <w:sz w:val="24"/>
          <w:szCs w:val="24"/>
        </w:rPr>
        <w:t xml:space="preserve">5.3 OCR Receipt Scanning</w:t>
      </w:r>
    </w:p>
    <w:p>
      <w:pPr>
        <w:spacing w:after="40" w:before="120"/>
        <w:jc w:val="center"/>
      </w:pPr>
      <w:r>
        <w:drawing>
          <wp:inline distT="0" distB="0" distL="0" distR="0">
            <wp:extent cx="2000250" cy="444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color w:val="5B6B67"/>
          <w:sz w:val="18"/>
          <w:szCs w:val="18"/>
        </w:rPr>
        <w:t xml:space="preserve">OCR capture — photographing a wholesale receipt auto-extracts line items and expiry.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Purpose: eliminate manual re-typing of wholesale receipts into the inventory system.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Extracted line items are shown with a confidence indicator; low-confidence rows are highlighted for a quick manual check rather than blocking the whole receipt.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Expiry/shelf-life is computed automatically from the item category and today’s date.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A5A4F"/>
          <w:sz w:val="24"/>
          <w:szCs w:val="24"/>
        </w:rPr>
        <w:t xml:space="preserve">5.4 Inventory List</w:t>
      </w:r>
    </w:p>
    <w:p>
      <w:pPr>
        <w:spacing w:after="40" w:before="120"/>
        <w:jc w:val="center"/>
      </w:pPr>
      <w:r>
        <w:drawing>
          <wp:inline distT="0" distB="0" distL="0" distR="0">
            <wp:extent cx="2000250" cy="444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color w:val="5B6B67"/>
          <w:sz w:val="18"/>
          <w:szCs w:val="18"/>
        </w:rPr>
        <w:t xml:space="preserve">Inventory list — current stock levels with dynamic reorder-point indicators.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Purpose: a scannable list of all SKUs with status pills (in-stock / low / reorder now).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Reorder points are shown as a live threshold, not a static number, reflecting the dynamic safety-stock model.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Tapping an item opens a quick-edit sheet; swipe gestures support fast restock logging.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A5A4F"/>
          <w:sz w:val="24"/>
          <w:szCs w:val="24"/>
        </w:rPr>
        <w:t xml:space="preserve">5.5 Demand Forecast</w:t>
      </w:r>
    </w:p>
    <w:p>
      <w:pPr>
        <w:spacing w:after="40" w:before="120"/>
        <w:jc w:val="center"/>
      </w:pPr>
      <w:r>
        <w:drawing>
          <wp:inline distT="0" distB="0" distL="0" distR="0">
            <wp:extent cx="2000250" cy="444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color w:val="5B6B67"/>
          <w:sz w:val="18"/>
          <w:szCs w:val="18"/>
        </w:rPr>
        <w:t xml:space="preserve">Forecast view — predicted demand for the coming days, annotated with weather/festival drivers.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Purpose: turn the AI forecasting engine into a plain-language recommendation (“stock 20% more milk before Friday”).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Each spike/dip is annotated with its driving signal (rain forecast, upcoming festival) so the recommendation is explainable, not a black box.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A5A4F"/>
          <w:sz w:val="24"/>
          <w:szCs w:val="24"/>
        </w:rPr>
        <w:t xml:space="preserve">5.6 Micro-Credit Health Score</w:t>
      </w:r>
    </w:p>
    <w:p>
      <w:pPr>
        <w:spacing w:after="40" w:before="120"/>
        <w:jc w:val="center"/>
      </w:pPr>
      <w:r>
        <w:drawing>
          <wp:inline distT="0" distB="0" distL="0" distR="0">
            <wp:extent cx="2000250" cy="444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color w:val="5B6B67"/>
          <w:sz w:val="18"/>
          <w:szCs w:val="18"/>
        </w:rPr>
        <w:t xml:space="preserve">Health Score — a composite, explainable score built from sales consistency, turnover, and waste.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Purpose: give the vendor (and, with consent, a lender) a single trustworthy number representing business health.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The score breakdown is always visible — consistency, turnover, and waste contribution — so it never feels like an opaque black-box judgment.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An explicit consent toggle controls whether the score is shared with a connected lender.</w:t>
      </w:r>
    </w:p>
    <w:p>
      <w:pPr>
        <w:pStyle w:val="Heading1"/>
        <w:pBdr>
          <w:bottom w:val="single" w:color="0F7A6B" w:sz="6" w:space="6"/>
        </w:pBdr>
        <w:spacing w:after="160" w:before="340"/>
      </w:pPr>
      <w:r>
        <w:rPr>
          <w:rFonts w:ascii="Cambria" w:cs="Cambria" w:eastAsia="Cambria" w:hAnsi="Cambria"/>
          <w:b/>
          <w:bCs/>
          <w:color w:val="0A5A4F"/>
          <w:sz w:val="30"/>
          <w:szCs w:val="30"/>
        </w:rPr>
        <w:t xml:space="preserve">6. Accessibility &amp; Localisation Notes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All primary flows are available in Hindi, Marathi, and English; language is selected once at onboarding and affects both voice and on-screen text.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Colour is never the sole status signal — pills combine colour with an icon or short label for colour-blind users.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Touch targets are a minimum of 44×44dp to accommodate imprecise taps in a busy, one-handed retail environment.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rFonts w:ascii="Calibri" w:cs="Calibri" w:eastAsia="Calibri" w:hAnsi="Calibri"/>
          <w:color w:val="1A2E2A"/>
          <w:sz w:val="21"/>
          <w:szCs w:val="21"/>
        </w:rPr>
        <w:t xml:space="preserve">Critical alerts (low stock, sync failure) use both a visual badge and, where enabled, a short spoken notification.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B6B67"/>
        <w:sz w:val="16"/>
        <w:szCs w:val="16"/>
      </w:rPr>
      <w:t xml:space="preserve">Ajeenkya D Y Patil University — School of Engineering</w:t>
    </w:r>
    <w:r>
      <w:rPr>
        <w:rFonts w:ascii="Calibri" w:cs="Calibri" w:eastAsia="Calibri" w:hAnsi="Calibri"/>
        <w:color w:val="5B6B67"/>
        <w:sz w:val="16"/>
        <w:szCs w:val="16"/>
      </w:rPr>
      <w:t xml:space="preserve">	Page </w:t>
    </w:r>
    <w:r>
      <w:rPr>
        <w:rFonts w:ascii="Calibri" w:cs="Calibri" w:eastAsia="Calibri" w:hAnsi="Calibri"/>
        <w:color w:val="5B6B6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B67"/>
        <w:sz w:val="16"/>
        <w:szCs w:val="16"/>
      </w:rPr>
      <w:t xml:space="preserve"> of </w:t>
    </w:r>
    <w:r>
      <w:rPr>
        <w:rFonts w:ascii="Calibri" w:cs="Calibri" w:eastAsia="Calibri" w:hAnsi="Calibri"/>
        <w:color w:val="5B6B6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4E1" w:sz="4" w:space="4"/>
      </w:pBdr>
      <w:tabs>
        <w:tab w:val="right" w:pos="9026"/>
      </w:tabs>
    </w:pPr>
    <w:r>
      <w:rPr>
        <w:rFonts w:ascii="Cambria" w:cs="Cambria" w:eastAsia="Cambria" w:hAnsi="Cambria"/>
        <w:b/>
        <w:bCs/>
        <w:color w:val="0A5A4F"/>
        <w:sz w:val="18"/>
        <w:szCs w:val="18"/>
      </w:rPr>
      <w:t xml:space="preserve">Vendor360</w:t>
    </w:r>
    <w:r>
      <w:rPr>
        <w:rFonts w:ascii="Calibri" w:cs="Calibri" w:eastAsia="Calibri" w:hAnsi="Calibri"/>
        <w:color w:val="5B6B67"/>
        <w:sz w:val="16"/>
        <w:szCs w:val="16"/>
      </w:rPr>
      <w:t xml:space="preserve">	UI/UX Design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  <w:rPr>
        <w:color w:val="0F7A6B"/>
      </w:rPr>
    </w:lvl>
    <w:lvl w:ilvl="1" w15:tentative="1">
      <w:start w:val="1"/>
      <w:numFmt w:val="bullet"/>
      <w:lvlText w:val="–"/>
      <w:lvlJc w:val="left"/>
      <w:pPr>
        <w:ind w:left="86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  <w:rPr>
        <w:b/>
        <w:bCs/>
        <w:color w:val="0A5A4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E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7676bb44857bdffd37fff57a5118c6bb90679d7.png"/><Relationship Id="rId10" Type="http://schemas.openxmlformats.org/officeDocument/2006/relationships/image" Target="media/e6dcf9a81d331be3ef5af78bd890cf5b796a8bb0.png"/><Relationship Id="rId11" Type="http://schemas.openxmlformats.org/officeDocument/2006/relationships/image" Target="media/83fa869956bfa28a29d38e4093ec7953b6dfa207.png"/><Relationship Id="rId12" Type="http://schemas.openxmlformats.org/officeDocument/2006/relationships/image" Target="media/319783a5203a50de2142f6937f13052c22a34194.png"/><Relationship Id="rId13" Type="http://schemas.openxmlformats.org/officeDocument/2006/relationships/image" Target="media/4bcc94d97cf4622557e87619b43fab933f9403ab.png"/><Relationship Id="rId14" Type="http://schemas.openxmlformats.org/officeDocument/2006/relationships/image" Target="media/aa5b6f0f60c7aa0b29e7c48d4f82184046961149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2026-08-28T13:52:36.068Z</dcterms:created>
  <dcterms:modified xsi:type="dcterms:W3CDTF">2026-08-28T13:52:36.069Z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