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 Global Enterprise - Employee Handbook 2026</w:t>
      </w:r>
    </w:p>
    <w:p>
      <w:pPr>
        <w:pStyle w:val="Heading1"/>
      </w:pPr>
      <w:r>
        <w:t>1. Paid Time Off and Leave Policy</w:t>
      </w:r>
    </w:p>
    <w:p>
      <w:r>
        <w:t>All full-time employees are allocated 22 days of paid annual leave per calendar year. Leave accumulates at a rate of 1.83 days per month worked. Employees may carry forward a maximum of 5 unused leave days into the next calendar year, which must be utilized before March 31st.</w:t>
      </w:r>
    </w:p>
    <w:p>
      <w:r>
        <w:t>Sick leave is granted at 12 days per year with full pay. For medical leaves extending beyond 3 consecutive working days, a formal medical practitioner certificate is required upon return.</w:t>
      </w:r>
    </w:p>
    <w:p>
      <w:pPr>
        <w:pStyle w:val="Heading1"/>
      </w:pPr>
      <w:r>
        <w:t>2. Remote Work &amp; Equipment Reimbursement</w:t>
      </w:r>
    </w:p>
    <w:p>
      <w:r>
        <w:t>Apex Global supports a flexible hybrid work model. Employees in eligible technical and operational roles may work remotely up to 3 days per week with manager consent.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Expense Category</w:t>
            </w:r>
          </w:p>
        </w:tc>
        <w:tc>
          <w:tcPr>
            <w:tcW w:type="dxa" w:w="2880"/>
          </w:tcPr>
          <w:p>
            <w:r>
              <w:t>Annual Allowance</w:t>
            </w:r>
          </w:p>
        </w:tc>
        <w:tc>
          <w:tcPr>
            <w:tcW w:type="dxa" w:w="2880"/>
          </w:tcPr>
          <w:p>
            <w:r>
              <w:t>Approval Required</w:t>
            </w:r>
          </w:p>
        </w:tc>
      </w:tr>
      <w:tr>
        <w:tc>
          <w:tcPr>
            <w:tcW w:type="dxa" w:w="2880"/>
          </w:tcPr>
          <w:p>
            <w:r>
              <w:t>Home Office Ergonomics Setup</w:t>
            </w:r>
          </w:p>
        </w:tc>
        <w:tc>
          <w:tcPr>
            <w:tcW w:type="dxa" w:w="2880"/>
          </w:tcPr>
          <w:p>
            <w:r>
              <w:t>$1,000 one-time</w:t>
            </w:r>
          </w:p>
        </w:tc>
        <w:tc>
          <w:tcPr>
            <w:tcW w:type="dxa" w:w="2880"/>
          </w:tcPr>
          <w:p>
            <w:r>
              <w:t>Manager Pre-approval</w:t>
            </w:r>
          </w:p>
        </w:tc>
      </w:tr>
      <w:tr>
        <w:tc>
          <w:tcPr>
            <w:tcW w:type="dxa" w:w="2880"/>
          </w:tcPr>
          <w:p>
            <w:r>
              <w:t>Monthly Internet Subsidy</w:t>
            </w:r>
          </w:p>
        </w:tc>
        <w:tc>
          <w:tcPr>
            <w:tcW w:type="dxa" w:w="2880"/>
          </w:tcPr>
          <w:p>
            <w:r>
              <w:t>$80 / month</w:t>
            </w:r>
          </w:p>
        </w:tc>
        <w:tc>
          <w:tcPr>
            <w:tcW w:type="dxa" w:w="2880"/>
          </w:tcPr>
          <w:p>
            <w:r>
              <w:t>Automated Payroll</w:t>
            </w:r>
          </w:p>
        </w:tc>
      </w:tr>
      <w:tr>
        <w:tc>
          <w:tcPr>
            <w:tcW w:type="dxa" w:w="2880"/>
          </w:tcPr>
          <w:p>
            <w:r>
              <w:t>Wellness &amp; Fitness Stipend</w:t>
            </w:r>
          </w:p>
        </w:tc>
        <w:tc>
          <w:tcPr>
            <w:tcW w:type="dxa" w:w="2880"/>
          </w:tcPr>
          <w:p>
            <w:r>
              <w:t>$500 / year</w:t>
            </w:r>
          </w:p>
        </w:tc>
        <w:tc>
          <w:tcPr>
            <w:tcW w:type="dxa" w:w="2880"/>
          </w:tcPr>
          <w:p>
            <w:r>
              <w:t>Receipt Submission</w:t>
            </w:r>
          </w:p>
        </w:tc>
      </w:tr>
    </w:tbl>
    <w:p>
      <w:pPr>
        <w:pStyle w:val="Heading1"/>
      </w:pPr>
      <w:r>
        <w:t>3. Core Working Hours &amp; Overtime</w:t>
      </w:r>
    </w:p>
    <w:p>
      <w:r>
        <w:t>Standard working hours are 40 hours per week. Core collaboration hours across all timezones are established between 10:00 AM and 3:00 PM local office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