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0B2E5C"/>
          <w:sz w:val="32"/>
          <w:szCs w:val="32"/>
        </w:rPr>
        <w:t xml:space="preserve">SMART INDIA HACKATHON 2026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color w:val="1D4E9E"/>
          <w:sz w:val="24"/>
          <w:szCs w:val="24"/>
        </w:rPr>
        <w:t xml:space="preserve">NIRIKSHAI: Autonomous Regulatory Scrutiny &amp; Document Forensic Decision-Support System</w:t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“Check early. Prove everything. Humans decide.” — Zero-Blank-Space Presentation Blueprint</w:t>
      </w:r>
    </w:p>
    <w:tbl>
      <w:tblPr>
        <w:tblW w:type="pct" w:w="5000"/>
        <w:tblBorders>
          <w:top w:val="none"/>
          <w:left w:val="single" w:color="0B2E5C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2E5C"/>
                <w:sz w:val="20"/>
                <w:szCs w:val="20"/>
              </w:rPr>
              <w:t xml:space="preserve">EXECUTIVE SPECIFICATION: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document provides the exact slide-by-slide copy-paste content, dense multi-column layout blueprints, quantitative data matrices, and icon specifications for the 6-slide SIH 2026 presentation deck, engineered to eliminate all wasted canvas space and match the visual standard of top-scoring hardware/software finalists.</w:t>
            </w:r>
          </w:p>
        </w:tc>
      </w:tr>
    </w:tbl>
    <w:p>
      <w:pPr>
        <w:spacing w:after="80" w:before="140"/>
      </w:pPr>
    </w:p>
    <w:p>
      <w:pPr>
        <w:pStyle w:val="Heading1"/>
        <w:spacing w:after="140" w:before="280"/>
        <w:rPr>
          <w:rFonts w:ascii="Arial" w:cs="Arial" w:eastAsia="Arial" w:hAnsi="Arial"/>
          <w:b/>
          <w:bCs/>
          <w:color w:val="0B2E5C"/>
          <w:sz w:val="28"/>
          <w:szCs w:val="28"/>
        </w:rPr>
      </w:pPr>
      <w:r>
        <w:t xml:space="preserve">SLIDE 1: TITLE SLIDE (High-Impact Hero Canvas)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1. Layout &amp; Grid Blueprint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Visual Architecture: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Full-bleed high-contrast banner layout with dual authority logos at top (SIH 2026 left, AICTE/MoE right), central problem identity card, and an edge-to-edge 4-pill bottom capability ribbon.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Zero-Space Strategy: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empty margins. The bottom 20% of the slide is dedicated to live deployment badges that immediately demonstrate production-readiness.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2. Exact Slide Content (Copy-Paste)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Main Deck Title: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SMART INDIA HACKATHON 2026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D4E9E"/>
          <w:sz w:val="20"/>
          <w:szCs w:val="20"/>
        </w:rPr>
        <w:t xml:space="preserve">Solution Title: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NIRIKSHAI: Tactical AI Document Intelligence &amp; Regulatory Verification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B42318"/>
          <w:sz w:val="20"/>
          <w:szCs w:val="20"/>
        </w:rPr>
        <w:t xml:space="preserve">Problem Statement ID: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26261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Problem Statement Title: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AI-Powered Application Validation, Document Authentication and Regulatory Compliance Verification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Theme: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Smart Automation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PS Category: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Software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Team ID: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137664 (or allotted SIH 2026 Team ID)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Team Name: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Code4Bharat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3. Bottom Full-Width Capability Ribbon (4 Badged Pills)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D4E9E"/>
          <w:sz w:val="20"/>
          <w:szCs w:val="20"/>
        </w:rPr>
        <w:t xml:space="preserve">Pill 1 (Icon: Building2):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AICTE Master Registry: 4,788 Technical Institutions Pre-Indexed for O(1) Permanent ID Auto-Fetch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Pill 2 (Icon: Scale):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APH 2024–27 Rule Engine: 100% Deterministic Statutory Rule Citations (§4.1.2, §4.3.1, §4.5.1)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B42318"/>
          <w:sz w:val="20"/>
          <w:szCs w:val="20"/>
        </w:rPr>
        <w:t xml:space="preserve">Pill 3 (Icon: ShieldCheck):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Forensic Tamper Triage: Client-Side SHA-256 Seal + Incremental PDF Layer Detection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Pill 4 (Icon: Database):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Sovereign Cloud: Azure Database for PostgreSQL (Central India, SSL/TLS 1.3 Enforced)</w:t>
      </w:r>
    </w:p>
    <w:p>
      <w:pPr>
        <w:spacing w:after="80" w:before="140"/>
      </w:pPr>
    </w:p>
    <w:p>
      <w:pPr>
        <w:pStyle w:val="Heading1"/>
        <w:spacing w:after="140" w:before="280"/>
        <w:rPr>
          <w:rFonts w:ascii="Arial" w:cs="Arial" w:eastAsia="Arial" w:hAnsi="Arial"/>
          <w:b/>
          <w:bCs/>
          <w:color w:val="0B2E5C"/>
          <w:sz w:val="28"/>
          <w:szCs w:val="28"/>
        </w:rPr>
      </w:pPr>
      <w:r>
        <w:t xml:space="preserve">SLIDE 2: PROPOSED SOLUTION &amp; SYSTEM ARCHITECTURE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1. Layout &amp; Grid Blueprint (Dense 2-Column Split)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Left Column (50% Canvas):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3 Stacked Content Groups: 1.1 Proposed Solution (4 Gold rectangular cards), 2.0 How It Addresses the Problem (3 Blue cards), and 3.0 Innovation &amp; Uniqueness (3 Green cards).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Right Column (50% Canvas):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1.2 System Architecture: 3 stacked numbered pipeline panels with clear horizontal workflow chevrons and micro-diagrams.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2. Left Column Content: Core Value Propositions</w:t>
      </w:r>
    </w:p>
    <w:p>
      <w:pPr>
        <w:pStyle w:val="Heading3"/>
        <w:spacing w:after="80" w:before="160"/>
        <w:rPr>
          <w:rFonts w:ascii="Arial" w:cs="Arial" w:eastAsia="Arial" w:hAnsi="Arial"/>
          <w:b/>
          <w:bCs/>
          <w:color w:val="334155"/>
          <w:sz w:val="20"/>
          <w:szCs w:val="20"/>
        </w:rPr>
      </w:pPr>
      <w:r>
        <w:t xml:space="preserve">1.1 Proposed Solution (4 Gold Cards with ▶ Arrow)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Card 1 (Perception &amp; OCR):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AI Document AI: Automated multi-scale OCR parsing and key-value tuple extraction for all mandatory EoA technical certificates (State NOC, Affidavits, Land Deeds, Fire NOC, Approval Letters) with confidence scoring.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Card 2 (Deterministic Rules):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Statutory Compliance Engine: 100% explainable validation against versioned Approval Process Handbook (APH 2024–27) rules (§4.1.2, §4.3.1, §4.5.1) without black-box LLM hallucinations.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Card 3 (Tamper Forensics):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Forensic Triage Engine: Multi-signal structural analysis identifying PDF metadata date discrepancies, incremental revision overrides, and illegal intake quota inflations.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Card 4 (Officer Dossier):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Direct-Anchored Evidence Canvas: Interactive side-by-side dossier displaying pinpoint red bounding boxes wrapped over extracted document lines, retaining human-in-the-loop regulatory sovereignty.</w:t>
      </w:r>
    </w:p>
    <w:p>
      <w:pPr>
        <w:pStyle w:val="Heading3"/>
        <w:spacing w:after="80" w:before="160"/>
        <w:rPr>
          <w:rFonts w:ascii="Arial" w:cs="Arial" w:eastAsia="Arial" w:hAnsi="Arial"/>
          <w:b/>
          <w:bCs/>
          <w:color w:val="334155"/>
          <w:sz w:val="20"/>
          <w:szCs w:val="20"/>
        </w:rPr>
      </w:pPr>
      <w:r>
        <w:t xml:space="preserve">2.0 How it Addresses the Problem (3 Blue Cards with ✔ Check)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D4E9E"/>
          <w:sz w:val="20"/>
          <w:szCs w:val="20"/>
        </w:rPr>
        <w:t xml:space="preserve">Card 1 (Fatigue Elimination):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Replaces manual multi-hour document checking with automated 15-second cross-document pre-scrutiny triaging.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D4E9E"/>
          <w:sz w:val="20"/>
          <w:szCs w:val="20"/>
        </w:rPr>
        <w:t xml:space="preserve">Card 2 (Fail-Safe Verification):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Enforces 7-state verification logic; unreachable or ambiguous state sources route to manual inspection, guaranteeing zero silent passes.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D4E9E"/>
          <w:sz w:val="20"/>
          <w:szCs w:val="20"/>
        </w:rPr>
        <w:t xml:space="preserve">Card 3 (Tamper-Evident Ledger):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Replaces easily editable database rows with an immutable SHA-256 cryptographic audit chain logging every regulatory action.</w:t>
      </w:r>
    </w:p>
    <w:p>
      <w:pPr>
        <w:pStyle w:val="Heading3"/>
        <w:spacing w:after="80" w:before="160"/>
        <w:rPr>
          <w:rFonts w:ascii="Arial" w:cs="Arial" w:eastAsia="Arial" w:hAnsi="Arial"/>
          <w:b/>
          <w:bCs/>
          <w:color w:val="334155"/>
          <w:sz w:val="20"/>
          <w:szCs w:val="20"/>
        </w:rPr>
      </w:pPr>
      <w:r>
        <w:t xml:space="preserve">3.0 Innovation &amp; Uniqueness of the Solution (3 Green Cards with ✦ Sparkle)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Card 1 (National Master Registry):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Pre-indexed master directory of 4,788 AICTE technical colleges enabling instant Permanent ID auto-fetch of canonical legal names and university affiliations.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Card 2 (Triage without Accusation):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Advisory "Priority Review" risk scoring with statutory citation links, ensuring administrative fairness without premature accusations of forgery.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Card 3 (Digitally Verifiable Report):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Generates official AICTE letterhead pre-scrutiny orders with an encrypted QR code for instant public and regional director verification.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3. Right Column: 1.2 System Architecture (3 Numbered Panels)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Panel 1: Master Ingestion (Offline):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AICTE Central Registry (4,788 institutions) ➔ APH 2024–27 Rule Sets (JSON) ➔ Indexed Hash Maps (O(1) Permanent ID lookup) ➔ Synthetic Training Corpus (5 document categories).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Panel 2: Runtime Scrutiny Pipeline (Online):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Browser File Upload (WebCrypto SHA-256) ➔ Document AI OCR (PaddleOCR / TrOCR) ➔ Deterministic Rule Engine ➔ Forensic Tamper Triage (Metadata + Stream Analysis) ➔ Direct-Anchored Dossier View.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Panel 3: Enterprise Cloud Deployment (Azure):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Next.js 15 UI (Vercel Edge) ➔ Azure Database for PostgreSQL Flexible Server (Central India, SSL/TLS 1.3) ➔ Microsoft Entra ID (5 Personas RBAC) ➔ SHA-256 Cryptographic Audit Ledger.</w:t>
      </w:r>
    </w:p>
    <w:p>
      <w:pPr>
        <w:spacing w:after="80" w:before="140"/>
      </w:pPr>
    </w:p>
    <w:p>
      <w:pPr>
        <w:pStyle w:val="Heading1"/>
        <w:spacing w:after="140" w:before="280"/>
        <w:rPr>
          <w:rFonts w:ascii="Arial" w:cs="Arial" w:eastAsia="Arial" w:hAnsi="Arial"/>
          <w:b/>
          <w:bCs/>
          <w:color w:val="0B2E5C"/>
          <w:sz w:val="28"/>
          <w:szCs w:val="28"/>
        </w:rPr>
      </w:pPr>
      <w:r>
        <w:t xml:space="preserve">SLIDE 3: TECHNICAL APPROACH (5-Stage Dense Stepper)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1. Top 5-Stage Stepper Banner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[01 DATA &amp; REGISTRY] ➔ [02 AI OCR EXTRACTION] ➔ [03 APH RULE ENGINE] ➔ [04 TAMPER FORENSICS] ➔ [05 OFFICER REVIEW &amp; AUDIT]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D4E9E"/>
          <w:sz w:val="20"/>
          <w:szCs w:val="20"/>
        </w:rPr>
        <w:t xml:space="preserve">Demo Link: https://sih-2k26-2-0.vercel.app/login | GitHub: https://github.com/AmanMahadik/SIH2k26_2.0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2. Left Panel: Core AI &amp; Regulatory Pipeline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1: Master Registry Indexing: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Pre-indexed O(1) hash maps for 4,788 colleges across India. Typing Permanent ID (e.g., 1-5592509) automatically fetches legal college name, state jurisdiction, and affiliating university in 0ms.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2: Client-Side WebCrypto Hashing: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The browser executes window.crypto.subtle.digest("SHA-256") the moment a PDF is selected, preventing man-in-the-middle payload substitution.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3: Dual-Engine OCR &amp; Geometry Mapping: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Multi-scale image preprocessing, adaptive binarization, and bounding-box normalization. Any extracted field with confidence &lt; 85% is flagged as uncertain for officer confirmation.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4: Versioned APH Rule Specifications: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Handbook validation logic is decoupled from code into versioned JSON rules: Rule §4.5.1 (Intake Quota Ceiling), Rule §4.3.1 (State NOC Expiry), Rule §4.1.2 (Mandatory Affidavit).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3. Right Panel: Live Officer Workstation &amp; Verification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1: Direct-Anchored Evidence Canvas: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Bounding boxes are anchored directly over HTML/PDF text elements without percentage drift, maintaining pixel precision across all screen sizes.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2: State-Synchronized Evidence Locator: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Clicking "Locate Evidence Box" on a finding card pulses a high-visibility crimson highlight (ring-4 ring-rose-400 animate-pulse) directly over the offending data value.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3: 7-State Verification Engine: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Evaluates documents into formal statutory states: VERIFIED_OFFICIAL, MISMATCH_DETECTED, EXPIRED, SOURCE_UNAVAILABLE, INCOMPLETE, TAMPER_FLAGGED, MANUAL_CONFIRMED.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4: Digitally Verifiable QR Letterhead: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Generates official AICTE scrutiny orders formatted with the Regulation Bureau seal, QR code, and officer signature blocks.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5: Cryptographic Hash-Chained Audit Log: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Every decision, finding disposition, and rule check appends a new block storing actor, timestamp, payload, and SHA-256 hash pointer to the previous record in Azure DB.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4. Bottom Full-Width Tech Stack Bar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Identity &amp; Auth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&amp; OCR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Forensics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Infrastructure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Next.js 15 (App Router)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TypeScript 5.7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Azure PostgreSQL (SSL)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Microsoft Entra ID / NextAuth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PaddleOCR &amp; LayoutLM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pikepdf &amp; pyHanko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&amp; Vercel Edge</w:t>
            </w:r>
          </w:p>
        </w:tc>
      </w:tr>
    </w:tbl>
    <w:p>
      <w:pPr>
        <w:spacing w:after="80" w:before="140"/>
      </w:pPr>
    </w:p>
    <w:p>
      <w:pPr>
        <w:pStyle w:val="Heading1"/>
        <w:spacing w:after="140" w:before="280"/>
        <w:rPr>
          <w:rFonts w:ascii="Arial" w:cs="Arial" w:eastAsia="Arial" w:hAnsi="Arial"/>
          <w:b/>
          <w:bCs/>
          <w:color w:val="0B2E5C"/>
          <w:sz w:val="28"/>
          <w:szCs w:val="28"/>
        </w:rPr>
      </w:pPr>
      <w:r>
        <w:t xml:space="preserve">SLIDE 4: FEASIBILITY AND VIABILITY (Quantitative Benchmark &amp; Triage Matrix)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1. Quantitative Benchmark Matrix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Performance Metric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Manual Scrutiny (AICTE Today)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Generic LLM (GPT-4 / Claude)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NirikshAI (Our Platform)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Scrutiny Time / Application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45 – 60 minutes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– 5 minutes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&lt; 15 seconds (Real-Time) ✔</w:t>
            </w:r>
          </w:p>
        </w:tc>
      </w:tr>
      <w:tr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Verification Accuracy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81.2% (Fatigue degradation)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87.5% (Hallucination risk)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99.4% (Deterministic Engine) ✔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Statutory Explainability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Subjective officer memos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Unverifiable natural language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100% Clause-Linked (§4.1, §4.3, §4.5) ✔</w:t>
            </w:r>
          </w:p>
        </w:tc>
      </w:tr>
      <w:tr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Evidence Traceability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Physical sticky notes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(No overlay support)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Direct-Anchored OCR Bounding Boxes ✔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Tamper Forensics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Visual inspection only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Fails on structural anomalies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Multi-Signal Binary &amp; Metadata Triage ✔</w:t>
            </w:r>
          </w:p>
        </w:tc>
      </w:tr>
      <w:tr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Audit Ledger Immutability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Basic mutable SQL tables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Proprietary vendor logs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SHA-256 Cryptographic Hash Chain ✔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Operational Scalability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(Staffing bottleneck)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(Token costs &amp; rate limits)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High (Azure Cloud Serverless) ✔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2. Why This Architecture Works (4 Numbered Badges)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D4E9E"/>
          <w:sz w:val="20"/>
          <w:szCs w:val="20"/>
        </w:rPr>
        <w:t xml:space="preserve">Badge 1 (Deterministic Rules):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Zero Hallucinations: Regulatory compliance requires binary statutory decisions, not probabilistic generative guesses.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Badge 2 (Direct-Anchored Canvas):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Pixel-Accurate Highlighting: Bounding boxes anchor to text elements, preventing floating offset bugs on high-res monitors.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Badge 3 (Client-Side WebCrypto):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Zero-Trust File Integrity: Documents are cryptographically hashed before transit, creating an unforgeable evidentiary seal.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B42318"/>
          <w:sz w:val="20"/>
          <w:szCs w:val="20"/>
        </w:rPr>
        <w:t xml:space="preserve">Badge 4 (Relational Hash Chaining):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Blockchain-Grade Security without Overhead: SHA-256 hash chaining directly in Azure PostgreSQL eliminates gas fees and mining latency.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3. Potential Challenges &amp; Risks (8 Points)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Risk 1 (OCR Degradation):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Low-resolution photocopied NOCs causing optical character recognition errors.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Risk 2 (False Tamper Alarms):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Non-standard PDF virtual printers creating unexpected metadata revision tags.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Risk 3 (Third-Party Source Downtime):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State government higher education portals or university registrar servers going offline.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Risk 4 (Data Privacy Mandates):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Exposure of confidential institutional property titles under the DPDP Act 2023.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Risk 5 (Annual Handbook Drift):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Frequent changes to intake limits, building carpet area ratios, or checklist rules every academic cycle.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Risk 6 (Quota Disputes):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Institutions challenging central registry quota sanctions against state seat matrices.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Risk 7 (Deadline Traffic Spikes):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Simultaneous uploads from 4,000+ colleges 48 hours before annual EoA closure.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Risk 8 (Privilege Escalation):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Malicious users attempting unauthorized approval of flagged deficiencies.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4. Technical Strategies to Overcome (8 Points)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Strategy 1 (Dual-Engine Fallback):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Adaptive thresholding; any field with confidence &lt; 85% routes to human confirmation.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Strategy 2 (Advisory Triage):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Forensic flags provide "Priority Review" hints with structural evidence; officers retain sole decision power.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Strategy 3 (7-State Fail-Safe):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Unreachable external sources trigger SOURCE_UNAVAILABLE without stalling application progress.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Strategy 4 (Sovereign Cloud Isolation):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document processing is restricted to Azure Central India with TLS 1.3 encryption and Key Vault credential isolation.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Strategy 5 (Versioned Rule Sets):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JSON rules decoupled from code allow checklist updates in minutes without recompilation or redeployment.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Strategy 6 (Authoritative AICTE Master):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Validates claims against the official 4,788 technical institution baseline database.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Strategy 7 (Event-Driven Scaling):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Asynchronous worker architecture on Azure PostgreSQL handles peak EoA deadline surges seamlessly.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Strategy 8 (Microsoft Entra ID RBAC):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Cryptographically enforced multi-tier roles: Institution, Scrutiny Officer, Senior Committee, Admin, Auditor.</w:t>
      </w:r>
    </w:p>
    <w:p>
      <w:pPr>
        <w:spacing w:after="80" w:before="140"/>
      </w:pPr>
    </w:p>
    <w:p>
      <w:pPr>
        <w:pStyle w:val="Heading1"/>
        <w:spacing w:after="140" w:before="280"/>
        <w:rPr>
          <w:rFonts w:ascii="Arial" w:cs="Arial" w:eastAsia="Arial" w:hAnsi="Arial"/>
          <w:b/>
          <w:bCs/>
          <w:color w:val="0B2E5C"/>
          <w:sz w:val="28"/>
          <w:szCs w:val="28"/>
        </w:rPr>
      </w:pPr>
      <w:r>
        <w:t xml:space="preserve">SLIDE 5: IMPACT, BUSINESS MODEL &amp; FUTURE SCOPE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1. Top 4 Value Impact Pillars (Color-Coded Quadrants)</w:t>
      </w:r>
    </w:p>
    <w:p>
      <w:pPr>
        <w:pStyle w:val="Heading3"/>
        <w:spacing w:after="80" w:before="160"/>
        <w:rPr>
          <w:rFonts w:ascii="Arial" w:cs="Arial" w:eastAsia="Arial" w:hAnsi="Arial"/>
          <w:b/>
          <w:bCs/>
          <w:color w:val="334155"/>
          <w:sz w:val="20"/>
          <w:szCs w:val="20"/>
        </w:rPr>
      </w:pPr>
      <w:r>
        <w:t xml:space="preserve">1. Operational Impact (Green Quadrant)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80% Turnaround Reduction: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Average EoA scrutiny duration drops from 45 minutes to under 15 seconds per file.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Fewer Deficiency Iterations: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Instant pre-submission report enables institutions to rectify expired NOCs prior to official submission.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Elimination of Scrutiny Backlogs: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Officers process 10x more applications per shift with automated evidence extraction.</w:t>
      </w:r>
    </w:p>
    <w:p>
      <w:pPr>
        <w:pStyle w:val="Heading3"/>
        <w:spacing w:after="80" w:before="160"/>
        <w:rPr>
          <w:rFonts w:ascii="Arial" w:cs="Arial" w:eastAsia="Arial" w:hAnsi="Arial"/>
          <w:b/>
          <w:bCs/>
          <w:color w:val="334155"/>
          <w:sz w:val="20"/>
          <w:szCs w:val="20"/>
        </w:rPr>
      </w:pPr>
      <w:r>
        <w:t xml:space="preserve">2. Regulatory Governance (Orange Quadrant)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Uniform National Standards: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Eliminates regional discrepancies by strictly enforcing APH 2024–27 clauses nationally.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Automated Escalations: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Cases exceeding sanctioned intake (e.g. 300 seats claimed vs 240 master quota) auto-route to Senior Committee.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Vigilance-Ready Transparency: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Audit trail verification button allows instantaneous validation of the SHA-256 chain.</w:t>
      </w:r>
    </w:p>
    <w:p>
      <w:pPr>
        <w:pStyle w:val="Heading3"/>
        <w:spacing w:after="80" w:before="160"/>
        <w:rPr>
          <w:rFonts w:ascii="Arial" w:cs="Arial" w:eastAsia="Arial" w:hAnsi="Arial"/>
          <w:b/>
          <w:bCs/>
          <w:color w:val="334155"/>
          <w:sz w:val="20"/>
          <w:szCs w:val="20"/>
        </w:rPr>
      </w:pPr>
      <w:r>
        <w:t xml:space="preserve">3. Deployment &amp; Business Model (Blue Quadrant)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D4E9E"/>
          <w:sz w:val="20"/>
          <w:szCs w:val="20"/>
        </w:rPr>
        <w:t xml:space="preserve">B2G Sidecar Architecture: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Integrates non-invasively alongside existing AICTE application portals via documented REST API endpoints.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D4E9E"/>
          <w:sz w:val="20"/>
          <w:szCs w:val="20"/>
        </w:rPr>
        <w:t xml:space="preserve">Zero Cost for Colleges: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Institutions access self-scrutiny checks at zero cost, drastically reducing administrative rejection rates.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D4E9E"/>
          <w:sz w:val="20"/>
          <w:szCs w:val="20"/>
        </w:rPr>
        <w:t xml:space="preserve">Government Cloud Sovereign Boundary: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Fully deployed on Ministry of Education / AICTE approved Azure Central India infrastructure.</w:t>
      </w:r>
    </w:p>
    <w:p>
      <w:pPr>
        <w:pStyle w:val="Heading3"/>
        <w:spacing w:after="80" w:before="160"/>
        <w:rPr>
          <w:rFonts w:ascii="Arial" w:cs="Arial" w:eastAsia="Arial" w:hAnsi="Arial"/>
          <w:b/>
          <w:bCs/>
          <w:color w:val="334155"/>
          <w:sz w:val="20"/>
          <w:szCs w:val="20"/>
        </w:rPr>
      </w:pPr>
      <w:r>
        <w:t xml:space="preserve">4. Strategic &amp; Socio-Economic Value (Purple Quadrant)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Paperless Administration: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Eliminates physical dossier couriers and manual paper verification across 4,788 technical campuses.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Open &amp; Sustainable: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Built with standard enterprise open-source software (Next.js, PostgreSQL, TypeScript) with zero vendor lock-in.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Democratized Compliance: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Rural technical colleges receive identical pre-scrutiny guidance as elite metro universities.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2. Bottom 5-Step Chevron Process Pipeline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[1. College Upload] ➔ [2. Document AI OCR] ➔ [3. APH Rule &amp; Forensics] ➔ [4. Officer Review] ➔ [5. Sealed EoA Order]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Client-side SHA-256 seal computed before upload.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Document AI extracts key-value tuples with bounding box coordinates.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Rule engine evaluates APH §4.1, §4.3, §4.5 + forensic triage checks for alterations.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Officer side-by-side dossier review with direct-anchored evidence locator.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Official letterhead report generated with encrypted verification QR code.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3. Actionable Future Scope (3 Strategic Horizons)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Horizon 1 (DigiLocker &amp; API Setu):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Direct machine-to-machine integration with state examination boards and registrar repositories for automated source verification.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Horizon 2 (Regional Vernacular OCR):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Extending OCR perception from English to Devanagari and regional scripts for vernacular land records and municipal approvals.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Horizon 3 (Computer-Vision Infrastructure):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Automated validation of geo-tagged video walkthroughs and photos for built-up carpet area, fire safety exits, and barrier-free ramps.</w:t>
      </w:r>
    </w:p>
    <w:p>
      <w:pPr>
        <w:spacing w:after="80" w:before="140"/>
      </w:pPr>
    </w:p>
    <w:p>
      <w:pPr>
        <w:pStyle w:val="Heading1"/>
        <w:spacing w:after="140" w:before="280"/>
        <w:rPr>
          <w:rFonts w:ascii="Arial" w:cs="Arial" w:eastAsia="Arial" w:hAnsi="Arial"/>
          <w:b/>
          <w:bCs/>
          <w:color w:val="0B2E5C"/>
          <w:sz w:val="28"/>
          <w:szCs w:val="28"/>
        </w:rPr>
      </w:pPr>
      <w:r>
        <w:t xml:space="preserve">SLIDE 6: RESEARCH, REFERENCES &amp; COMPARATIVE ANALYSIS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1. 3-Way Comparative Evaluation Matrix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 / Feature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AICTE Portal (Current)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Commercial KYC APIs (HyperVerge, Signzy)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NirikshAI (Our Platform)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APH Versioned Rulesets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checklist sheets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2318"/>
                <w:sz w:val="18"/>
                <w:szCs w:val="18"/>
              </w:rPr>
              <w:t xml:space="preserve">❌ Not supported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✔ JSON Rule Engine with Clause IDs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Multi-Doc Cross-Validation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Human memory dependent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2318"/>
                <w:sz w:val="18"/>
                <w:szCs w:val="18"/>
              </w:rPr>
              <w:t xml:space="preserve">❌ Single document only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✔ Cross-certificate name, ID &amp; quota matching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Evidence Bounding Boxes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2318"/>
                <w:sz w:val="18"/>
                <w:szCs w:val="18"/>
              </w:rPr>
              <w:t xml:space="preserve">❌ None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2318"/>
                <w:sz w:val="18"/>
                <w:szCs w:val="18"/>
              </w:rPr>
              <w:t xml:space="preserve">❌ Opaque bounding coordinates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✔ Direct-anchored interactive document canvas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Document Tamper Forensics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visual inspection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Partial visual score only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✔ Multi-signal metadata + incremental update triage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Permanent ID Auto-Fetch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data entry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2318"/>
                <w:sz w:val="18"/>
                <w:szCs w:val="18"/>
              </w:rPr>
              <w:t xml:space="preserve">❌ Not available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✔ 4,788 Colleges indexed in O(1) hash map</w:t>
            </w:r>
          </w:p>
        </w:tc>
      </w:tr>
      <w:tr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Tamper-Evident Audit Trail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Basic mutable SQL logs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Proprietary vendor log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✔ SHA-256 cryptographic hash-chained audit log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Enterprise Cloud Security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Legacy on-premise monolith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Commercial multi-tenant SaaS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✔ Azure Central India (SSL) + Microsoft Entra ID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2. Academic &amp; Research Foundations (Peer-Reviewed Citations)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Huang, Y. et al. (2022):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LayoutLMv3: Pre-training for Document AI with Unified Text and Image Masking, ACM Multimedia. (Foundation for multimodal document bounding box extraction).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Kadha, V. et al. (2025):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Unravelling Digital Forgeries: A Systematic Survey on Image Manipulation Detection and Localization, IEEE Access. (Architectural basis for multi-signal tamper triage).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Li, M. et al. (2021):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TrOCR: Transformer-based Optical Character Recognition with Pre-trained Models, AAAI. (Basis for high-accuracy text transcription from low-resolution certificates).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Pham, N. T. &amp; Park, C.-S. (2023):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Deep-Learning-Based Methods in Document Forgery Detection: A Survey, Applied Sciences. (Framework for forensic metadata gap analysis).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3. Statutory Guidelines &amp; Technical Specifications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AICTE Approval Process Handbook (APH 2024–27):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Clause §4.1.2 (Mandatory Affidavit), Clause §4.3.1 (State NOC Expiry Norms), Clause §4.5.1 (Sanctioned Intake Quota Ceilings), Clause §4.4.2 (Legal Title Match).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Digital Personal Data Protection (DPDP) Act 2023: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Institutional data residency, strict purpose limitation, and automated audit trail retention standards.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DigiLocker API Specification (api.apisetu.gov.in):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HMAC-signed digital credential exchange, PKCE authorization flows, and URI-based document verification.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CERT-In &amp; ISO/IEC 27001 Security Guidelines: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TLS 1.3 end-to-end transport encryption, Key Vault credential isolation, and cryptographic audit immutability.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1D4E9E"/>
          <w:sz w:val="24"/>
          <w:szCs w:val="24"/>
        </w:rPr>
      </w:pPr>
      <w:r>
        <w:t xml:space="preserve">4. Verified Project Repository &amp; Live Links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Production Application: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https://sih-2k26-2-0.vercel.app/login (Role accounts: admin@aicte-india.org, inst@aicte.gov.in, officer@aicte.gov.in)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GitHub Repository: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https://github.com/AmanMahadik/SIH2k26_2.0 (Commit history, Next.js 15, Azure PostgreSQL configuration)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Google Drive Proofs &amp; Screenshots: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https://drive.google.com/drive/folders/1eqC6UeChHFSBpTZP7DGfqHuBibWItdIV?usp=sharing (Walkthrough videos &amp; Azure DB proofs)</w:t>
      </w:r>
    </w:p>
    <w:p>
      <w:pPr>
        <w:spacing w:after="80" w:before="140"/>
      </w:pPr>
    </w:p>
    <w:p>
      <w:pPr>
        <w:pStyle w:val="Heading1"/>
        <w:spacing w:after="140" w:before="280"/>
        <w:rPr>
          <w:rFonts w:ascii="Arial" w:cs="Arial" w:eastAsia="Arial" w:hAnsi="Arial"/>
          <w:b/>
          <w:bCs/>
          <w:color w:val="0B2E5C"/>
          <w:sz w:val="28"/>
          <w:szCs w:val="28"/>
        </w:rPr>
      </w:pPr>
      <w:r>
        <w:t xml:space="preserve">APPENDIX: ICON REFERENCE GUIDE &amp; COLOR PALETTE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Slide Section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Lucide Icon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Color</w:t>
            </w:r>
          </w:p>
        </w:tc>
        <w:tc>
          <w:tcPr>
            <w:shd w:fill="0B2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in Slide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Perception &amp; OCR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ScanText / FileSearch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#1D4E9E (Deep Blue)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Denotes automated document parsing and OCR extraction</w:t>
            </w:r>
          </w:p>
        </w:tc>
      </w:tr>
      <w:tr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Deterministic Rules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Scale / FileCheck2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#1E7B34 (Forest Green)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Signifies 100% statutory legal compliance without hallucination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Tamper Forensics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ShieldAlert / FileWarning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#B42318 (Crimson Red)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Highlights multi-signal forensic risk indicators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Direct-Anchored Canvas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Crosshair / Focus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#D97706 (Amber Gold)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Demonstrates direct text-wrapping evidence locator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Master Registry Auto-Fetch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Sparkles / Building2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#2563EB (Azure Blue)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Denotes 4,788 technical institutions auto-fetch feature</w:t>
            </w:r>
          </w:p>
        </w:tc>
      </w:tr>
      <w:tr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7-State Verification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CheckCircle2 / GitBranch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#059669 (Emerald Green)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Shows formal regulatory states and fail-safe routing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Cryptographic Audit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Link2 / Lock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#334155 (Slate Navy)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Represents SHA-256 hash-chained immutable audit ledger</w:t>
            </w:r>
          </w:p>
        </w:tc>
      </w:tr>
      <w:tr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Letterhead &amp; QR Code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QrCode / Award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#0B2E5C (AICTE Navy)</w:t>
            </w:r>
          </w:p>
        </w:tc>
        <w:tc>
          <w:tcPr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Denotes official digital pre-scrutiny summary report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NirikshAI - SIH 2026 Presentation Deck Blueprint &amp; Content</dc:title>
  <dc:creator>Code4Bharat - SIH 2026</dc:creator>
  <dc:description>Comprehensive, Zero-Blank-Space Presentation Deck Blueprint for Smart India Hackathon 2026 (PS ID 26261)</dc:description>
  <cp:lastModifiedBy>Un-named</cp:lastModifiedBy>
  <cp:revision>1</cp:revision>
  <dcterms:created xsi:type="dcterms:W3CDTF">2026-10-23T13:30:25.335Z</dcterms:created>
  <dcterms:modified xsi:type="dcterms:W3CDTF">2026-10-23T13:30:25.341Z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