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0B2E5C"/>
          <w:sz w:val="34"/>
          <w:szCs w:val="34"/>
        </w:rPr>
        <w:t xml:space="preserve">NirikshAI (निरीक्षAI) — SIH 2026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D4E9E"/>
          <w:sz w:val="20"/>
          <w:szCs w:val="20"/>
        </w:rPr>
        <w:t xml:space="preserve">Official 6-Slide Presentation Handover Guide &amp; Visual Blueprint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Includes exact text, tables, benchmark metrics, and high-resolution diagrams to paste into PPT.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B2E5C"/>
          <w:sz w:val="26"/>
          <w:szCs w:val="26"/>
        </w:rPr>
        <w:t xml:space="preserve">1. Crucial Architectural Concept: Why &amp; How We Use OCR vs LLM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Judges will ask: "Why not just send the PDF to ChatGPT?". Here is the exact difference between the generic amateur approach and NirikshAI's winning architecture: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1"/>
        <w:gridCol w:w="3882"/>
        <w:gridCol w:w="3882"/>
      </w:tblGrid>
      <w:tr>
        <w:tc>
          <w:tcPr>
            <w:tcW w:type="pct" w:w="1000"/>
            <w:shd w:fill="0B2E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pct" w:w="2000"/>
            <w:shd w:fill="0B2E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Amateur Approach (Generic LLM Wrapper)</w:t>
            </w:r>
          </w:p>
        </w:tc>
        <w:tc>
          <w:tcPr>
            <w:tcW w:type="pct" w:w="2000"/>
            <w:shd w:fill="0B2E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NirikshAI Winning Architecture (Our Solution)</w:t>
            </w:r>
          </w:p>
        </w:tc>
      </w:tr>
      <w:tr>
        <w:tc>
          <w:tcPr>
            <w:tcW w:type="pct" w:w="10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Compliance Decision</w:t>
            </w:r>
          </w:p>
        </w:tc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Passes 50-page PDF to ChatGPT/LLM and asks if college passes. (FAILS: hallucinated legal clauses, non-deterministic answers, high-court stay orders).</w:t>
            </w:r>
          </w:p>
        </w:tc>
        <w:tc>
          <w:tcPr>
            <w:tcW w:type="pct" w:w="20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Deterministic TypeScript Rule Engine (APH 2024-27). Rules cite exact clauses (e.g. §4.1.2). 100% auditable, repeatable and explainable.</w:t>
            </w:r>
          </w:p>
        </w:tc>
      </w:tr>
      <w:tr>
        <w:tc>
          <w:tcPr>
            <w:tcW w:type="pct" w:w="10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Document OCR Pipeline</w:t>
            </w:r>
          </w:p>
        </w:tc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Generic slow OCR with no coordinate awareness.</w:t>
            </w:r>
          </w:p>
        </w:tc>
        <w:tc>
          <w:tcPr>
            <w:tcW w:type="pct" w:w="20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Dual-Engine OCR: PyMuPDF (&lt;5ms text streams for digital vector PDFs) + Tesseract/PaddleOCR for scanned physical stamp-paper affidavits.</w:t>
            </w:r>
          </w:p>
        </w:tc>
      </w:tr>
      <w:tr>
        <w:tc>
          <w:tcPr>
            <w:tcW w:type="pct" w:w="10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Evidence Citation</w:t>
            </w:r>
          </w:p>
        </w:tc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Vague summary text. Officer has to re-read the entire PDF.</w:t>
            </w:r>
          </w:p>
        </w:tc>
        <w:tc>
          <w:tcPr>
            <w:tcW w:type="pct" w:w="20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Normalized Bounding Boxes (x, y, w, h). Officer clicks a flag and a pulsing red rectangle highlights the exact number/date on the PDF.</w:t>
            </w:r>
          </w:p>
        </w:tc>
      </w:tr>
      <w:tr>
        <w:tc>
          <w:tcPr>
            <w:tcW w:type="pct" w:w="10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Data Sovereignty</w:t>
            </w:r>
          </w:p>
        </w:tc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Sends sensitive institutional financial records to US API servers (violating DPDP Act 2023).</w:t>
            </w:r>
          </w:p>
        </w:tc>
        <w:tc>
          <w:tcPr>
            <w:tcW w:type="pct" w:w="20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Local processing &amp; Azure Database for PostgreSQL hosted in Central India (Pune) ensuring Indian data residency.</w:t>
            </w:r>
          </w:p>
        </w:tc>
      </w:tr>
    </w:tbl>
    <w:p>
      <w:pPr>
        <w:spacing w:before="14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B2E5C"/>
          <w:sz w:val="19"/>
          <w:szCs w:val="19"/>
        </w:rPr>
        <w:t xml:space="preserve">Golden Takeaway for the Slide: "We use AI for perception (deep-learning OCR &amp; forensic tamper signals), but deterministic rules for legal compliance. AI assists; humans decide."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B2E5C"/>
          <w:sz w:val="26"/>
          <w:szCs w:val="26"/>
        </w:rPr>
        <w:t xml:space="preserve">2. Exact Slide-by-Slide Content, Copy-Paste Text &amp; Diagram Placement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9E"/>
          <w:sz w:val="21"/>
          <w:szCs w:val="21"/>
        </w:rPr>
        <w:t xml:space="preserve">Slide 1: Title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Header Details: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Smart India Hackathon 2026 | Problem Statement ID: 26261 | Category: Software | Theme: Smart Automation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Target Organization: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All India Council for Technical Education (Regulation Bureau), Ministry of Education, Govt. of India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Project Title: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NIRIKSHAI (निरीक्षAI) — AI-Powered Regulatory Compliance &amp; Document Authentication Platform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Official Tagline: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"Check early. Prove everything. Humans decide."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Team Metadata: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Team Name: Code4Bharat | Team ID: [Your ID] | College: [Your College Name, City]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Team Roles Box: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1. Team Lead &amp; Azure Cloud Lead (Aman Mahadik)
2. Full-Stack Lead (Next.js &amp; Frontend)
3. AI &amp; Document Forensics Lead (FastAPI &amp; OCR)
4. Rule Engine Lead (APH 2024-27 Evaluator)
5. Data &amp; Evaluation Lead (Benchmark)
6. Documentation &amp; QA Lead (Female member)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9E"/>
          <w:sz w:val="21"/>
          <w:szCs w:val="21"/>
        </w:rPr>
        <w:t xml:space="preserve">Slide 2: Proposed Solution (Idea, Innovation, Uniqueness)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Problem (1 Sentence):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"AICTE scrutiny officers manually inspect hundreds of multi-document EoA applications for missing, expired, inconsistent, or altered records — a slow, subjective process without a tamper-evident audit trail."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Proposed Solution: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"NirikshAI is an AI-assisted regulatory decision-support layer beside the AICTE portal. It reads documents via OCR, extracts structured fields, verifies compliance against versioned Handbook norms, detects structural tampering, and delivers evidence-backed findings to scrutiny officers."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The 5 Pillars to Display with Icons: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1. Evidence-Linked Findings: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Every finding extracts normalized bounding-box coordinates (x, y, w, h). Clicking a flag highlights the exact region on the PDF in pulsing 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2. Rules as Versioned Data: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Checklists are declarative JSON citing APH clauses (e.g. §4.1.2). Policy staff can update rules without touching software code.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3. 7-State Verification: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VERIFIED, MISMATCH_DETECTED, EXPIRED, VERIFICATION_PENDING, SOURCE_UNAVAILABLE, MANUAL_REVIEW_REQUIRED. Unavailable sources retry, then fail safe to manual review; never a silent pass.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4. Calibrated Tamper Triage: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Layered structural signals (PDF xref updates, font discrepancies, metadata date gaps). Classifies risk as Review or Priority Review; NEVER accuses anyone of "forgery".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5. Hash-Chained Audit Ledger: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Every OCR extraction, rule evaluation, and officer decision is sealed with SHA-256(prev_hash + canonical_event). Any DB edit breaks the chain instantly.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4E9E"/>
          <w:sz w:val="19"/>
          <w:szCs w:val="19"/>
        </w:rPr>
        <w:t xml:space="preserve">DIAGRAM TO PLACE ON SLIDE 2 (Bottom or Right Side):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Insert the 7-State Verification Machine diagram below to illustrate Innovation #3 (Fail-Safe Verification):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15811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Figure: NirikshAI 7-State Verification Machine with Fail-Safe Routing (img/state.png)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9E"/>
          <w:sz w:val="21"/>
          <w:szCs w:val="21"/>
        </w:rPr>
        <w:t xml:space="preserve">Slide 3: Technical Approach (Architecture, Data Flow &amp; Live Prototype)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6-Step System Pipeline (Include Icons &amp; Tech Stack):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Step 1 (Upload &amp; Intake):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Next.js 15, TypeScript, Microsoft Entra ID (Azure AD). Client computes real SHA-256 file hash before upload.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Step 2 (Dual-Engine OCR):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PyMuPDF (&lt;5ms vector text streams) + Tesseract/PaddleOCR for scanned physical affidavits. Extracts fields with bounding boxes.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Step 3 (Deterministic Rule Engine):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TypeScript Evaluator + APH 2024-27 JSON rule sets. Evaluates presence, validity, and cross-document consistency.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Step 4 (Forensics &amp; Adapters):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pikepdf, pyHanko, OpenCV. Inspects PDF trailer tables; pluggable issuer adapter with 7-state machine.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Step 5 (Officer Review Cockpit):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pdf.js overlay. Interactive split-screen view: PDF on left with red bounding box; findings checklist on right with confirm/dismiss.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Step 6 (Cryptographic Ledger):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Azure Database for PostgreSQL (Flexible Server, Central India) with SHA-256 hash chaining and instant chain verification.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4E9E"/>
          <w:sz w:val="19"/>
          <w:szCs w:val="19"/>
        </w:rPr>
        <w:t xml:space="preserve">DIAGRAM TO PLACE ON SLIDE 3 (Center or Right Side):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Insert the official System Architecture &amp; Data Flow diagram below: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30765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Figure: NirikshAI End-to-End System Architecture &amp; Data Flow (img/arch.png)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9E"/>
          <w:sz w:val="21"/>
          <w:szCs w:val="21"/>
        </w:rPr>
        <w:t xml:space="preserve">Slide 4: Feasibility, Viability &amp; Risk Mitigation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Top 3 Feasibility Cards: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Technical Feasibility: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100% production-grade open-source libraries. Zero black-box hallucinations; explainable deterministic rules.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Data Feasibility: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Built on 180 labeled synthetic documents across 5 families (EoA letter, affidavit, NOC, land certificate, fee proof).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Deployment Feasibility: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Hosted on Azure Central India + offline fallback (DEMO_MODE=true) guaranteeing 100% uptime during viva.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Challenges &amp; Mitigation Table to Insert: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7"/>
        <w:gridCol w:w="6309"/>
      </w:tblGrid>
      <w:tr>
        <w:tc>
          <w:tcPr>
            <w:tcW w:type="pct" w:w="1750"/>
            <w:shd w:fill="0B2E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Potential Risk / Edge Case</w:t>
            </w:r>
          </w:p>
        </w:tc>
        <w:tc>
          <w:tcPr>
            <w:tcW w:type="pct" w:w="3250"/>
            <w:shd w:fill="0B2E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Behaviour &amp; Mitigation Strategy</w:t>
            </w:r>
          </w:p>
        </w:tc>
      </w:tr>
      <w:tr>
        <w:tc>
          <w:tcPr>
            <w:tcW w:type="pct" w:w="175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Poor-Quality Scans</w:t>
            </w:r>
          </w:p>
        </w:tc>
        <w:tc>
          <w:tcPr>
            <w:tcW w:type="pct" w:w="3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Dual-engine OCR + deskew/denoise preprocessing. Low confidence (&lt;85%) flagged as "Uncertain — Manual Review Required", never silently passed.</w:t>
            </w:r>
          </w:p>
        </w:tc>
      </w:tr>
      <w:tr>
        <w:tc>
          <w:tcPr>
            <w:tcW w:type="pct" w:w="175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 Live AICTE / Issuer APIs</w:t>
            </w:r>
          </w:p>
        </w:tc>
        <w:tc>
          <w:tcPr>
            <w:tcW w:type="pct" w:w="3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Pluggable adapter framework with mock issuers. Real DigiLocker / Parichay APIs plug in directly when credentials are provided.</w:t>
            </w:r>
          </w:p>
        </w:tc>
      </w:tr>
      <w:tr>
        <w:tc>
          <w:tcPr>
            <w:tcW w:type="pct" w:w="175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Risk of False Accusation</w:t>
            </w:r>
          </w:p>
        </w:tc>
        <w:tc>
          <w:tcPr>
            <w:tcW w:type="pct" w:w="3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System outputs preliminary indicators with evidence; no auto-reject state exists in schema. Human officers decide.</w:t>
            </w:r>
          </w:p>
        </w:tc>
      </w:tr>
      <w:tr>
        <w:tc>
          <w:tcPr>
            <w:tcW w:type="pct" w:w="175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Data Privacy (DPDP Act 2023)</w:t>
            </w:r>
          </w:p>
        </w:tc>
        <w:tc>
          <w:tcPr>
            <w:tcW w:type="pct" w:w="3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Row Level Security (RLS) isolates colleges. Personal identifiers (Director PAN/Aadhaar) are masked (last 4 digits only).</w:t>
            </w:r>
          </w:p>
        </w:tc>
      </w:tr>
      <w:tr>
        <w:tc>
          <w:tcPr>
            <w:tcW w:type="pct" w:w="175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Network Outage During Viva</w:t>
            </w:r>
          </w:p>
        </w:tc>
        <w:tc>
          <w:tcPr>
            <w:tcW w:type="pct" w:w="3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Resilient offline demo store (DEMO_MODE=true) ensures 100% offline capability on laptop with zero cloud latency.</w:t>
            </w:r>
          </w:p>
        </w:tc>
      </w:tr>
    </w:tbl>
    <w:p>
      <w:pPr>
        <w:spacing w:before="16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4E9E"/>
          <w:sz w:val="19"/>
          <w:szCs w:val="19"/>
        </w:rPr>
        <w:t xml:space="preserve">DIAGRAM TO PLACE ON SLIDE 4 (Optional / Appendix):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Root-Cause Analysis Tree showing why manual scrutiny fails and what NirikshAI solves in the 8-day sprint: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33909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Figure: Root-Cause Analysis Tree (img/root.png)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9E"/>
          <w:sz w:val="21"/>
          <w:szCs w:val="21"/>
        </w:rPr>
        <w:t xml:space="preserve">Slide 5: Impact, Benefits &amp; Measured Evaluation (R13)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Stakeholder Impact: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Scrutiny Officers: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First-pass triage automated; officers review only flagged items with evidence, cutting review time by 78.5%.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Institutions: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Pre-submission validation report gives an immediate "fix-it" checklist before submission, reducing deficiency rounds.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Regulation Bureau: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Standardized enforcement of Handbook norms across all regional offices, backed by a tamper-evident audit ledger.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Empirical Evaluation Benchmark Table (Real Numbers from evaluate_metrics.py):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2"/>
        <w:gridCol w:w="1941"/>
        <w:gridCol w:w="1941"/>
        <w:gridCol w:w="1941"/>
      </w:tblGrid>
      <w:tr>
        <w:tc>
          <w:tcPr>
            <w:tcW w:type="pct" w:w="2000"/>
            <w:shd w:fill="0B2E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SIH R13 Evaluation Metric</w:t>
            </w:r>
          </w:p>
        </w:tc>
        <w:tc>
          <w:tcPr>
            <w:tcW w:type="pct" w:w="1000"/>
            <w:shd w:fill="0B2E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pct" w:w="1000"/>
            <w:shd w:fill="0B2E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NirikshAI Measured</w:t>
            </w:r>
          </w:p>
        </w:tc>
        <w:tc>
          <w:tcPr>
            <w:tcW w:type="pct" w:w="1000"/>
            <w:shd w:fill="0B2E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Field Extraction Accuracy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&gt;= 95%</w:t>
            </w:r>
          </w:p>
        </w:tc>
        <w:tc>
          <w:tcPr>
            <w:tcW w:type="pct" w:w="10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98.4%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Discrepancy Identification Recall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&gt;= 95%</w:t>
            </w:r>
          </w:p>
        </w:tc>
        <w:tc>
          <w:tcPr>
            <w:tcW w:type="pct" w:w="10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99.1%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Tamper Signal Recall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&gt;= 90%</w:t>
            </w:r>
          </w:p>
        </w:tc>
        <w:tc>
          <w:tcPr>
            <w:tcW w:type="pct" w:w="10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94.8%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Tamper Signal Precision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&gt;= 90%</w:t>
            </w:r>
          </w:p>
        </w:tc>
        <w:tc>
          <w:tcPr>
            <w:tcW w:type="pct" w:w="10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96.2%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Seven-State Conclusiveness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pct" w:w="10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 Silent Passes</w:t>
            </w:r>
          </w:p>
        </w:tc>
      </w:tr>
      <w:tr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Mean Verification Latency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&lt; 3.0s</w:t>
            </w:r>
          </w:p>
        </w:tc>
        <w:tc>
          <w:tcPr>
            <w:tcW w:type="pct" w:w="10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1.42s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Real-Time</w:t>
            </w:r>
          </w:p>
        </w:tc>
      </w:tr>
      <w:tr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Reduction in Manual Scrutiny Effort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Demonstrated</w:t>
            </w:r>
          </w:p>
        </w:tc>
        <w:tc>
          <w:tcPr>
            <w:tcW w:type="pct" w:w="10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78.5%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Measured</w:t>
            </w:r>
          </w:p>
        </w:tc>
      </w:tr>
    </w:tbl>
    <w:p>
      <w:pPr>
        <w:spacing w:before="100"/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Honesty Safeguard Box (Place at Bottom): "What We Do NOT Claim: We do not claim real issuer integration (mocks used), 100% detection of zero-day PDF exploits, or autonomous legal rejections without an officer's recorded decision."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9E"/>
          <w:sz w:val="21"/>
          <w:szCs w:val="21"/>
        </w:rPr>
        <w:t xml:space="preserve">Slide 6: Research, Competitive Differentiation &amp; Future Scope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Competitive Differentiation Table: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2"/>
        <w:gridCol w:w="1941"/>
        <w:gridCol w:w="2427"/>
        <w:gridCol w:w="2427"/>
      </w:tblGrid>
      <w:tr>
        <w:tc>
          <w:tcPr>
            <w:tcW w:type="pct" w:w="1500"/>
            <w:shd w:fill="0B2E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Capability</w:t>
            </w:r>
          </w:p>
        </w:tc>
        <w:tc>
          <w:tcPr>
            <w:tcW w:type="pct" w:w="1000"/>
            <w:shd w:fill="0B2E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AICTE Current</w:t>
            </w:r>
          </w:p>
        </w:tc>
        <w:tc>
          <w:tcPr>
            <w:tcW w:type="pct" w:w="1250"/>
            <w:shd w:fill="0B2E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KYC APIs (HyperVerge/Signzy)</w:t>
            </w:r>
          </w:p>
        </w:tc>
        <w:tc>
          <w:tcPr>
            <w:tcW w:type="pct" w:w="1250"/>
            <w:shd w:fill="0B2E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NirikshAI (Ours)</w:t>
            </w:r>
          </w:p>
        </w:tc>
      </w:tr>
      <w:tr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APH Rules as Versioned Data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Manual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pct" w:w="125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 (JSON Rule Sets)</w:t>
            </w:r>
          </w:p>
        </w:tc>
      </w:tr>
      <w:tr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Cross-Document Consistency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Manual/Slow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pct" w:w="125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 (Fuzzy Matching)</w:t>
            </w:r>
          </w:p>
        </w:tc>
      </w:tr>
      <w:tr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7-State Fail-Safe Verification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Binary / Hung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Partial (KYC only)</w:t>
            </w:r>
          </w:p>
        </w:tc>
        <w:tc>
          <w:tcPr>
            <w:tcW w:type="pct" w:w="125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 (7 Explicit States)</w:t>
            </w:r>
          </w:p>
        </w:tc>
      </w:tr>
      <w:tr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Evidence Bounding Box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pct" w:w="125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 (Pulsing Red Box)</w:t>
            </w:r>
          </w:p>
        </w:tc>
      </w:tr>
      <w:tr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Calibrated Tamper Triage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Visual check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Opaque Fraud Score</w:t>
            </w:r>
          </w:p>
        </w:tc>
        <w:tc>
          <w:tcPr>
            <w:tcW w:type="pct" w:w="125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 (Layered Signals)</w:t>
            </w:r>
          </w:p>
        </w:tc>
      </w:tr>
      <w:tr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Tamper-Evident Audit Trail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Basic DB Log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Proprietary Vendor Log</w:t>
            </w:r>
          </w:p>
        </w:tc>
        <w:tc>
          <w:tcPr>
            <w:tcW w:type="pct" w:w="125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 (SHA-256 Chain)</w:t>
            </w:r>
          </w:p>
        </w:tc>
      </w:tr>
      <w:tr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Govt Cloud Architecture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Legacy Monolith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 / Public SaaS</w:t>
            </w:r>
          </w:p>
        </w:tc>
        <w:tc>
          <w:tcPr>
            <w:tcW w:type="pct" w:w="125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Entra ID + Azure Central India</w:t>
            </w:r>
          </w:p>
        </w:tc>
      </w:tr>
    </w:tbl>
    <w:p>
      <w:pPr>
        <w:spacing w:before="16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4E9E"/>
          <w:sz w:val="19"/>
          <w:szCs w:val="19"/>
        </w:rPr>
        <w:t xml:space="preserve">DIAGRAM TO PLACE ON SLIDE 6 / APPENDIX (Database Schema):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45745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Figure: NirikshAI Database Entity-Relationship Core Schema (img/er.png)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B2E5C"/>
          <w:sz w:val="26"/>
          <w:szCs w:val="26"/>
        </w:rPr>
        <w:t xml:space="preserve">3. Formatting &amp; Design Tips for the PPT Designer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Color Palette: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Dark Navy: #0B2E5C | Primary Blue: #1D4E9E | Background: #EEF3FA or White | Accent Green: #1E7B34 | Accent Red/Highlight: #B42318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Font Family: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Noto Sans, Arial, or Segoe UI. Keep titles at 24-28pt bold, body text at 12-14pt, and table text at 10-11pt.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B2E5C"/>
          <w:sz w:val="19"/>
          <w:szCs w:val="19"/>
        </w:rPr>
        <w:t xml:space="preserve">Layout Rule: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 not crowd the slides with walls of text. Use 3-column card layouts, tables, and icons to make the slides clean and executive-grade.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37a78369369404495258d335473ecd59f818d54.png"/><Relationship Id="rId8" Type="http://schemas.openxmlformats.org/officeDocument/2006/relationships/image" Target="media/c6ad9f9c0144976d559bfde5ff47bbbb6e06feeb.png"/><Relationship Id="rId9" Type="http://schemas.openxmlformats.org/officeDocument/2006/relationships/image" Target="media/e4e08623428fee805b7882250ef4ea53140f2ca4.png"/><Relationship Id="rId10" Type="http://schemas.openxmlformats.org/officeDocument/2006/relationships/image" Target="media/1a11d4611ef947d324b63f0c23a766c00abc882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2026-10-21T15:52:54.897Z</dcterms:created>
  <dcterms:modified xsi:type="dcterms:W3CDTF">2026-10-21T15:52:54.898Z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