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46"/>
        </w:rPr>
        <w:t>STRATEGIC PLANNING AND</w:t>
        <w:br/>
        <w:t>DATA EXPLORATION IN LOGISTICS</w:t>
      </w:r>
    </w:p>
    <w:p>
      <w:pPr>
        <w:jc w:val="center"/>
      </w:pPr>
      <w:r>
        <w:rPr>
          <w:color w:val="2F5597"/>
          <w:sz w:val="32"/>
        </w:rPr>
        <w:t>Week 1 Project Report</w:t>
      </w:r>
    </w:p>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Project detail</w:t>
            </w:r>
          </w:p>
        </w:tc>
        <w:tc>
          <w:tcPr>
            <w:tcW w:type="dxa" w:w="5040"/>
            <w:shd w:fill="17365D"/>
          </w:tcPr>
          <w:p>
            <w:r>
              <w:rPr>
                <w:b/>
                <w:color w:val="FFFFFF"/>
                <w:sz w:val="18"/>
              </w:rPr>
              <w:t>Description</w:t>
            </w:r>
          </w:p>
        </w:tc>
      </w:tr>
      <w:tr>
        <w:tc>
          <w:tcPr>
            <w:tcW w:type="dxa" w:w="5040"/>
          </w:tcPr>
          <w:p>
            <w:pPr>
              <w:spacing w:after="20"/>
            </w:pPr>
            <w:r>
              <w:rPr>
                <w:sz w:val="17"/>
              </w:rPr>
              <w:t>Project</w:t>
            </w:r>
          </w:p>
        </w:tc>
        <w:tc>
          <w:tcPr>
            <w:tcW w:type="dxa" w:w="5040"/>
          </w:tcPr>
          <w:p>
            <w:pPr>
              <w:spacing w:after="20"/>
            </w:pPr>
            <w:r>
              <w:rPr>
                <w:sz w:val="17"/>
              </w:rPr>
              <w:t>Logistics Data Analytics</w:t>
            </w:r>
          </w:p>
        </w:tc>
      </w:tr>
      <w:tr>
        <w:tc>
          <w:tcPr>
            <w:tcW w:type="dxa" w:w="5040"/>
          </w:tcPr>
          <w:p>
            <w:pPr>
              <w:spacing w:after="20"/>
            </w:pPr>
            <w:r>
              <w:rPr>
                <w:sz w:val="17"/>
              </w:rPr>
              <w:t>Dataset</w:t>
            </w:r>
          </w:p>
        </w:tc>
        <w:tc>
          <w:tcPr>
            <w:tcW w:type="dxa" w:w="5040"/>
          </w:tcPr>
          <w:p>
            <w:pPr>
              <w:spacing w:after="20"/>
            </w:pPr>
            <w:r>
              <w:rPr>
                <w:sz w:val="17"/>
              </w:rPr>
              <w:t>DataCoSupplyChainDataset.csv</w:t>
            </w:r>
          </w:p>
        </w:tc>
      </w:tr>
      <w:tr>
        <w:tc>
          <w:tcPr>
            <w:tcW w:type="dxa" w:w="5040"/>
          </w:tcPr>
          <w:p>
            <w:pPr>
              <w:spacing w:after="20"/>
            </w:pPr>
            <w:r>
              <w:rPr>
                <w:sz w:val="17"/>
              </w:rPr>
              <w:t>Environment</w:t>
            </w:r>
          </w:p>
        </w:tc>
        <w:tc>
          <w:tcPr>
            <w:tcW w:type="dxa" w:w="5040"/>
          </w:tcPr>
          <w:p>
            <w:pPr>
              <w:spacing w:after="20"/>
            </w:pPr>
            <w:r>
              <w:rPr>
                <w:sz w:val="17"/>
              </w:rPr>
              <w:t>Python in VS Code / Jupyter Notebook</w:t>
            </w:r>
          </w:p>
        </w:tc>
      </w:tr>
      <w:tr>
        <w:tc>
          <w:tcPr>
            <w:tcW w:type="dxa" w:w="5040"/>
          </w:tcPr>
          <w:p>
            <w:pPr>
              <w:spacing w:after="20"/>
            </w:pPr>
            <w:r>
              <w:rPr>
                <w:sz w:val="17"/>
              </w:rPr>
              <w:t>Phase</w:t>
            </w:r>
          </w:p>
        </w:tc>
        <w:tc>
          <w:tcPr>
            <w:tcW w:type="dxa" w:w="5040"/>
          </w:tcPr>
          <w:p>
            <w:pPr>
              <w:spacing w:after="20"/>
            </w:pPr>
            <w:r>
              <w:rPr>
                <w:sz w:val="17"/>
              </w:rPr>
              <w:t>Week 1 – Strategic Planning and Data Exploration</w:t>
            </w:r>
          </w:p>
        </w:tc>
      </w:tr>
    </w:tbl>
    <w:p/>
    <w:p>
      <w:pPr>
        <w:jc w:val="center"/>
      </w:pPr>
      <w:r>
        <w:t>Prepared from the initial exploratory analysis and outputs recorded during Week 1.</w:t>
      </w:r>
    </w:p>
    <w:p>
      <w:r>
        <w:br w:type="page"/>
      </w:r>
    </w:p>
    <w:p>
      <w:pPr>
        <w:pStyle w:val="Heading1"/>
      </w:pPr>
      <w:r>
        <w:t>1. Executive Summary</w:t>
      </w:r>
    </w:p>
    <w:p>
      <w:r>
        <w:t>This report presents an initial strategic exploration of the DataCo supply-chain dataset. It contains 180,519 records and 53 columns. The analysis examined delivery status, shipping-time performance, sales, order-item quantity, missing values, and delivery patterns across shipping modes, customer segments, and markets.</w:t>
      </w:r>
    </w:p>
    <w:p>
      <w:r>
        <w:t>The principal finding is that 54.83% of records are classified as Late delivery. Average actual shipping time is 3.50 days versus 2.93 scheduled days, a gap of about 0.57 days. First Class has the highest observed late-delivery rate (95.32%) and Standard Class the lowest (38.07%). Across markets, rates range from 54.36% in LATAM to 55.21% in Europe.</w:t>
      </w:r>
    </w:p>
    <w:p>
      <w:r>
        <w:t>The initial quality check found no exact duplicate rows but 336,209 missing cells. Product Description is entirely empty, and 86.24% of Order Zipcode values are missing. These issues should be assessed in Week 2.</w:t>
      </w:r>
    </w:p>
    <w:p>
      <w:pPr>
        <w:pStyle w:val="Heading1"/>
      </w:pPr>
      <w:r>
        <w:t>2. Project Objectives</w:t>
      </w:r>
    </w:p>
    <w:p>
      <w:pPr>
        <w:pStyle w:val="ListBullet"/>
      </w:pPr>
      <w:r>
        <w:t>Establish baseline logistics performance indicators.</w:t>
      </w:r>
    </w:p>
    <w:p>
      <w:pPr>
        <w:pStyle w:val="ListBullet"/>
      </w:pPr>
      <w:r>
        <w:t>Compare actual shipping time with scheduled shipping time.</w:t>
      </w:r>
    </w:p>
    <w:p>
      <w:pPr>
        <w:pStyle w:val="ListBullet"/>
      </w:pPr>
      <w:r>
        <w:t>Explore delivery-rate differences by shipping mode, customer segment, and market.</w:t>
      </w:r>
    </w:p>
    <w:p>
      <w:pPr>
        <w:pStyle w:val="ListBullet"/>
      </w:pPr>
      <w:r>
        <w:t>Assess initial data quality, including duplicates and missing values.</w:t>
      </w:r>
    </w:p>
    <w:p>
      <w:pPr>
        <w:pStyle w:val="ListBullet"/>
      </w:pPr>
      <w:r>
        <w:t>Translate exploratory findings into recommendations for subsequent analysis.</w:t>
      </w:r>
    </w:p>
    <w:p>
      <w:pPr>
        <w:pStyle w:val="Heading1"/>
      </w:pPr>
      <w:r>
        <w:t>3. Dataset Overview</w:t>
      </w:r>
    </w:p>
    <w:p>
      <w:r>
        <w:t>The file DataCoSupplyChainDataset.csv was loaded into a pandas DataFrame using Latin-1 encoding. Relevant fields included Delivery Status, Late_delivery_risk, Days for shipping (real), Days for shipment (scheduled), Sales, Order Item Quantity, Shipping Mode, Customer Segment, and Market.</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Dataset attribute</w:t>
            </w:r>
          </w:p>
        </w:tc>
        <w:tc>
          <w:tcPr>
            <w:tcW w:type="dxa" w:w="5040"/>
            <w:shd w:fill="17365D"/>
          </w:tcPr>
          <w:p>
            <w:r>
              <w:rPr>
                <w:b/>
                <w:color w:val="FFFFFF"/>
                <w:sz w:val="18"/>
              </w:rPr>
              <w:t>Result</w:t>
            </w:r>
          </w:p>
        </w:tc>
      </w:tr>
      <w:tr>
        <w:tc>
          <w:tcPr>
            <w:tcW w:type="dxa" w:w="5040"/>
          </w:tcPr>
          <w:p>
            <w:pPr>
              <w:spacing w:after="20"/>
            </w:pPr>
            <w:r>
              <w:rPr>
                <w:sz w:val="17"/>
              </w:rPr>
              <w:t>Records</w:t>
            </w:r>
          </w:p>
        </w:tc>
        <w:tc>
          <w:tcPr>
            <w:tcW w:type="dxa" w:w="5040"/>
          </w:tcPr>
          <w:p>
            <w:pPr>
              <w:spacing w:after="20"/>
            </w:pPr>
            <w:r>
              <w:rPr>
                <w:sz w:val="17"/>
              </w:rPr>
              <w:t>180,519</w:t>
            </w:r>
          </w:p>
        </w:tc>
      </w:tr>
      <w:tr>
        <w:tc>
          <w:tcPr>
            <w:tcW w:type="dxa" w:w="5040"/>
          </w:tcPr>
          <w:p>
            <w:pPr>
              <w:spacing w:after="20"/>
            </w:pPr>
            <w:r>
              <w:rPr>
                <w:sz w:val="17"/>
              </w:rPr>
              <w:t>Columns</w:t>
            </w:r>
          </w:p>
        </w:tc>
        <w:tc>
          <w:tcPr>
            <w:tcW w:type="dxa" w:w="5040"/>
          </w:tcPr>
          <w:p>
            <w:pPr>
              <w:spacing w:after="20"/>
            </w:pPr>
            <w:r>
              <w:rPr>
                <w:sz w:val="17"/>
              </w:rPr>
              <w:t>53</w:t>
            </w:r>
          </w:p>
        </w:tc>
      </w:tr>
      <w:tr>
        <w:tc>
          <w:tcPr>
            <w:tcW w:type="dxa" w:w="5040"/>
          </w:tcPr>
          <w:p>
            <w:pPr>
              <w:spacing w:after="20"/>
            </w:pPr>
            <w:r>
              <w:rPr>
                <w:sz w:val="17"/>
              </w:rPr>
              <w:t>Exact duplicate rows</w:t>
            </w:r>
          </w:p>
        </w:tc>
        <w:tc>
          <w:tcPr>
            <w:tcW w:type="dxa" w:w="5040"/>
          </w:tcPr>
          <w:p>
            <w:pPr>
              <w:spacing w:after="20"/>
            </w:pPr>
            <w:r>
              <w:rPr>
                <w:sz w:val="17"/>
              </w:rPr>
              <w:t>0</w:t>
            </w:r>
          </w:p>
        </w:tc>
      </w:tr>
      <w:tr>
        <w:tc>
          <w:tcPr>
            <w:tcW w:type="dxa" w:w="5040"/>
          </w:tcPr>
          <w:p>
            <w:pPr>
              <w:spacing w:after="20"/>
            </w:pPr>
            <w:r>
              <w:rPr>
                <w:sz w:val="17"/>
              </w:rPr>
              <w:t>Total missing cells</w:t>
            </w:r>
          </w:p>
        </w:tc>
        <w:tc>
          <w:tcPr>
            <w:tcW w:type="dxa" w:w="5040"/>
          </w:tcPr>
          <w:p>
            <w:pPr>
              <w:spacing w:after="20"/>
            </w:pPr>
            <w:r>
              <w:rPr>
                <w:sz w:val="17"/>
              </w:rPr>
              <w:t>336,209</w:t>
            </w:r>
          </w:p>
        </w:tc>
      </w:tr>
      <w:tr>
        <w:tc>
          <w:tcPr>
            <w:tcW w:type="dxa" w:w="5040"/>
          </w:tcPr>
          <w:p>
            <w:pPr>
              <w:spacing w:after="20"/>
            </w:pPr>
            <w:r>
              <w:rPr>
                <w:sz w:val="17"/>
              </w:rPr>
              <w:t>Completely empty column</w:t>
            </w:r>
          </w:p>
        </w:tc>
        <w:tc>
          <w:tcPr>
            <w:tcW w:type="dxa" w:w="5040"/>
          </w:tcPr>
          <w:p>
            <w:pPr>
              <w:spacing w:after="20"/>
            </w:pPr>
            <w:r>
              <w:rPr>
                <w:sz w:val="17"/>
              </w:rPr>
              <w:t>Product Description</w:t>
            </w:r>
          </w:p>
        </w:tc>
      </w:tr>
    </w:tbl>
    <w:p/>
    <w:p>
      <w:pPr>
        <w:pStyle w:val="Heading1"/>
      </w:pPr>
      <w:r>
        <w:t>4. Methodology</w:t>
      </w:r>
    </w:p>
    <w:p>
      <w:r>
        <w:t>Python, pandas, and NumPy were used for inspection and calculations; Matplotlib and Seaborn were used for charts. Delivery rates were calculated as the share of records in each status or group classified as late. Mean actual and scheduled shipping days were compared to estimate the shipping-time gap. Missing values and duplicate rows were inspected without changing the original dataset.</w:t>
      </w:r>
    </w:p>
    <w:p>
      <w:r>
        <w:t>The cross-tabulation of Delivery Status and Late_delivery_risk showed an exact match in the observed records: all Late delivery records had risk value 1, and the other listed statuses had risk value 0.</w:t>
      </w:r>
    </w:p>
    <w:p>
      <w:pPr>
        <w:pStyle w:val="Heading1"/>
      </w:pPr>
      <w:r>
        <w:t>5. Key Performance Indicators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KPI</w:t>
            </w:r>
          </w:p>
        </w:tc>
        <w:tc>
          <w:tcPr>
            <w:tcW w:type="dxa" w:w="3360"/>
            <w:shd w:fill="17365D"/>
          </w:tcPr>
          <w:p>
            <w:r>
              <w:rPr>
                <w:b/>
                <w:color w:val="FFFFFF"/>
                <w:sz w:val="18"/>
              </w:rPr>
              <w:t>Result</w:t>
            </w:r>
          </w:p>
        </w:tc>
        <w:tc>
          <w:tcPr>
            <w:tcW w:type="dxa" w:w="3360"/>
            <w:shd w:fill="17365D"/>
          </w:tcPr>
          <w:p>
            <w:r>
              <w:rPr>
                <w:b/>
                <w:color w:val="FFFFFF"/>
                <w:sz w:val="18"/>
              </w:rPr>
              <w:t>Interpretation</w:t>
            </w:r>
          </w:p>
        </w:tc>
      </w:tr>
      <w:tr>
        <w:tc>
          <w:tcPr>
            <w:tcW w:type="dxa" w:w="3360"/>
          </w:tcPr>
          <w:p>
            <w:pPr>
              <w:spacing w:after="20"/>
            </w:pPr>
            <w:r>
              <w:rPr>
                <w:sz w:val="17"/>
              </w:rPr>
              <w:t>Late delivery rate</w:t>
            </w:r>
          </w:p>
        </w:tc>
        <w:tc>
          <w:tcPr>
            <w:tcW w:type="dxa" w:w="3360"/>
          </w:tcPr>
          <w:p>
            <w:pPr>
              <w:spacing w:after="20"/>
            </w:pPr>
            <w:r>
              <w:rPr>
                <w:sz w:val="17"/>
              </w:rPr>
              <w:t>54.83%</w:t>
            </w:r>
          </w:p>
        </w:tc>
        <w:tc>
          <w:tcPr>
            <w:tcW w:type="dxa" w:w="3360"/>
          </w:tcPr>
          <w:p>
            <w:pPr>
              <w:spacing w:after="20"/>
            </w:pPr>
            <w:r>
              <w:rPr>
                <w:sz w:val="17"/>
              </w:rPr>
              <w:t>More than half of records are classified as late.</w:t>
            </w:r>
          </w:p>
        </w:tc>
      </w:tr>
      <w:tr>
        <w:tc>
          <w:tcPr>
            <w:tcW w:type="dxa" w:w="3360"/>
          </w:tcPr>
          <w:p>
            <w:pPr>
              <w:spacing w:after="20"/>
            </w:pPr>
            <w:r>
              <w:rPr>
                <w:sz w:val="17"/>
              </w:rPr>
              <w:t>Advance shipping rate</w:t>
            </w:r>
          </w:p>
        </w:tc>
        <w:tc>
          <w:tcPr>
            <w:tcW w:type="dxa" w:w="3360"/>
          </w:tcPr>
          <w:p>
            <w:pPr>
              <w:spacing w:after="20"/>
            </w:pPr>
            <w:r>
              <w:rPr>
                <w:sz w:val="17"/>
              </w:rPr>
              <w:t>23.04%</w:t>
            </w:r>
          </w:p>
        </w:tc>
        <w:tc>
          <w:tcPr>
            <w:tcW w:type="dxa" w:w="3360"/>
          </w:tcPr>
          <w:p>
            <w:pPr>
              <w:spacing w:after="20"/>
            </w:pPr>
            <w:r>
              <w:rPr>
                <w:sz w:val="17"/>
              </w:rPr>
              <w:t>Records classified as advance shipping.</w:t>
            </w:r>
          </w:p>
        </w:tc>
      </w:tr>
      <w:tr>
        <w:tc>
          <w:tcPr>
            <w:tcW w:type="dxa" w:w="3360"/>
          </w:tcPr>
          <w:p>
            <w:pPr>
              <w:spacing w:after="20"/>
            </w:pPr>
            <w:r>
              <w:rPr>
                <w:sz w:val="17"/>
              </w:rPr>
              <w:t>Shipping on-time rate</w:t>
            </w:r>
          </w:p>
        </w:tc>
        <w:tc>
          <w:tcPr>
            <w:tcW w:type="dxa" w:w="3360"/>
          </w:tcPr>
          <w:p>
            <w:pPr>
              <w:spacing w:after="20"/>
            </w:pPr>
            <w:r>
              <w:rPr>
                <w:sz w:val="17"/>
              </w:rPr>
              <w:t>17.84%</w:t>
            </w:r>
          </w:p>
        </w:tc>
        <w:tc>
          <w:tcPr>
            <w:tcW w:type="dxa" w:w="3360"/>
          </w:tcPr>
          <w:p>
            <w:pPr>
              <w:spacing w:after="20"/>
            </w:pPr>
            <w:r>
              <w:rPr>
                <w:sz w:val="17"/>
              </w:rPr>
              <w:t>Records explicitly marked Shipping on time.</w:t>
            </w:r>
          </w:p>
        </w:tc>
      </w:tr>
      <w:tr>
        <w:tc>
          <w:tcPr>
            <w:tcW w:type="dxa" w:w="3360"/>
          </w:tcPr>
          <w:p>
            <w:pPr>
              <w:spacing w:after="20"/>
            </w:pPr>
            <w:r>
              <w:rPr>
                <w:sz w:val="17"/>
              </w:rPr>
              <w:t>Shipping cancellation rate</w:t>
            </w:r>
          </w:p>
        </w:tc>
        <w:tc>
          <w:tcPr>
            <w:tcW w:type="dxa" w:w="3360"/>
          </w:tcPr>
          <w:p>
            <w:pPr>
              <w:spacing w:after="20"/>
            </w:pPr>
            <w:r>
              <w:rPr>
                <w:sz w:val="17"/>
              </w:rPr>
              <w:t>4.30%</w:t>
            </w:r>
          </w:p>
        </w:tc>
        <w:tc>
          <w:tcPr>
            <w:tcW w:type="dxa" w:w="3360"/>
          </w:tcPr>
          <w:p>
            <w:pPr>
              <w:spacing w:after="20"/>
            </w:pPr>
            <w:r>
              <w:rPr>
                <w:sz w:val="17"/>
              </w:rPr>
              <w:t>Records marked Shipping canceled.</w:t>
            </w:r>
          </w:p>
        </w:tc>
      </w:tr>
      <w:tr>
        <w:tc>
          <w:tcPr>
            <w:tcW w:type="dxa" w:w="3360"/>
          </w:tcPr>
          <w:p>
            <w:pPr>
              <w:spacing w:after="20"/>
            </w:pPr>
            <w:r>
              <w:rPr>
                <w:sz w:val="17"/>
              </w:rPr>
              <w:t>Average actual shipping time</w:t>
            </w:r>
          </w:p>
        </w:tc>
        <w:tc>
          <w:tcPr>
            <w:tcW w:type="dxa" w:w="3360"/>
          </w:tcPr>
          <w:p>
            <w:pPr>
              <w:spacing w:after="20"/>
            </w:pPr>
            <w:r>
              <w:rPr>
                <w:sz w:val="17"/>
              </w:rPr>
              <w:t>3.50 days</w:t>
            </w:r>
          </w:p>
        </w:tc>
        <w:tc>
          <w:tcPr>
            <w:tcW w:type="dxa" w:w="3360"/>
          </w:tcPr>
          <w:p>
            <w:pPr>
              <w:spacing w:after="20"/>
            </w:pPr>
            <w:r>
              <w:rPr>
                <w:sz w:val="17"/>
              </w:rPr>
              <w:t>Observed mean actual duration.</w:t>
            </w:r>
          </w:p>
        </w:tc>
      </w:tr>
      <w:tr>
        <w:tc>
          <w:tcPr>
            <w:tcW w:type="dxa" w:w="3360"/>
          </w:tcPr>
          <w:p>
            <w:pPr>
              <w:spacing w:after="20"/>
            </w:pPr>
            <w:r>
              <w:rPr>
                <w:sz w:val="17"/>
              </w:rPr>
              <w:t>Average scheduled shipping time</w:t>
            </w:r>
          </w:p>
        </w:tc>
        <w:tc>
          <w:tcPr>
            <w:tcW w:type="dxa" w:w="3360"/>
          </w:tcPr>
          <w:p>
            <w:pPr>
              <w:spacing w:after="20"/>
            </w:pPr>
            <w:r>
              <w:rPr>
                <w:sz w:val="17"/>
              </w:rPr>
              <w:t>2.93 days</w:t>
            </w:r>
          </w:p>
        </w:tc>
        <w:tc>
          <w:tcPr>
            <w:tcW w:type="dxa" w:w="3360"/>
          </w:tcPr>
          <w:p>
            <w:pPr>
              <w:spacing w:after="20"/>
            </w:pPr>
            <w:r>
              <w:rPr>
                <w:sz w:val="17"/>
              </w:rPr>
              <w:t>Observed mean scheduled duration.</w:t>
            </w:r>
          </w:p>
        </w:tc>
      </w:tr>
      <w:tr>
        <w:tc>
          <w:tcPr>
            <w:tcW w:type="dxa" w:w="3360"/>
          </w:tcPr>
          <w:p>
            <w:pPr>
              <w:spacing w:after="20"/>
            </w:pPr>
            <w:r>
              <w:rPr>
                <w:sz w:val="17"/>
              </w:rPr>
              <w:t>Average shipping-time gap</w:t>
            </w:r>
          </w:p>
        </w:tc>
        <w:tc>
          <w:tcPr>
            <w:tcW w:type="dxa" w:w="3360"/>
          </w:tcPr>
          <w:p>
            <w:pPr>
              <w:spacing w:after="20"/>
            </w:pPr>
            <w:r>
              <w:rPr>
                <w:sz w:val="17"/>
              </w:rPr>
              <w:t>0.57 days</w:t>
            </w:r>
          </w:p>
        </w:tc>
        <w:tc>
          <w:tcPr>
            <w:tcW w:type="dxa" w:w="3360"/>
          </w:tcPr>
          <w:p>
            <w:pPr>
              <w:spacing w:after="20"/>
            </w:pPr>
            <w:r>
              <w:rPr>
                <w:sz w:val="17"/>
              </w:rPr>
              <w:t>Actual mean exceeds scheduled mean.</w:t>
            </w:r>
          </w:p>
        </w:tc>
      </w:tr>
      <w:tr>
        <w:tc>
          <w:tcPr>
            <w:tcW w:type="dxa" w:w="3360"/>
          </w:tcPr>
          <w:p>
            <w:pPr>
              <w:spacing w:after="20"/>
            </w:pPr>
            <w:r>
              <w:rPr>
                <w:sz w:val="17"/>
              </w:rPr>
              <w:t>Total Sales value</w:t>
            </w:r>
          </w:p>
        </w:tc>
        <w:tc>
          <w:tcPr>
            <w:tcW w:type="dxa" w:w="3360"/>
          </w:tcPr>
          <w:p>
            <w:pPr>
              <w:spacing w:after="20"/>
            </w:pPr>
            <w:r>
              <w:rPr>
                <w:sz w:val="17"/>
              </w:rPr>
              <w:t>36,784,735.01</w:t>
            </w:r>
          </w:p>
        </w:tc>
        <w:tc>
          <w:tcPr>
            <w:tcW w:type="dxa" w:w="3360"/>
          </w:tcPr>
          <w:p>
            <w:pPr>
              <w:spacing w:after="20"/>
            </w:pPr>
            <w:r>
              <w:rPr>
                <w:sz w:val="17"/>
              </w:rPr>
              <w:t>Sum of Sales; currency/unit not specified here.</w:t>
            </w:r>
          </w:p>
        </w:tc>
      </w:tr>
      <w:tr>
        <w:tc>
          <w:tcPr>
            <w:tcW w:type="dxa" w:w="3360"/>
          </w:tcPr>
          <w:p>
            <w:pPr>
              <w:spacing w:after="20"/>
            </w:pPr>
            <w:r>
              <w:rPr>
                <w:sz w:val="17"/>
              </w:rPr>
              <w:t>Average Sales per record</w:t>
            </w:r>
          </w:p>
        </w:tc>
        <w:tc>
          <w:tcPr>
            <w:tcW w:type="dxa" w:w="3360"/>
          </w:tcPr>
          <w:p>
            <w:pPr>
              <w:spacing w:after="20"/>
            </w:pPr>
            <w:r>
              <w:rPr>
                <w:sz w:val="17"/>
              </w:rPr>
              <w:t>203.77</w:t>
            </w:r>
          </w:p>
        </w:tc>
        <w:tc>
          <w:tcPr>
            <w:tcW w:type="dxa" w:w="3360"/>
          </w:tcPr>
          <w:p>
            <w:pPr>
              <w:spacing w:after="20"/>
            </w:pPr>
            <w:r>
              <w:rPr>
                <w:sz w:val="17"/>
              </w:rPr>
              <w:t>Mean per dataset record, not per unique order.</w:t>
            </w:r>
          </w:p>
        </w:tc>
      </w:tr>
      <w:tr>
        <w:tc>
          <w:tcPr>
            <w:tcW w:type="dxa" w:w="3360"/>
          </w:tcPr>
          <w:p>
            <w:pPr>
              <w:spacing w:after="20"/>
            </w:pPr>
            <w:r>
              <w:rPr>
                <w:sz w:val="17"/>
              </w:rPr>
              <w:t>Average order-item quantity</w:t>
            </w:r>
          </w:p>
        </w:tc>
        <w:tc>
          <w:tcPr>
            <w:tcW w:type="dxa" w:w="3360"/>
          </w:tcPr>
          <w:p>
            <w:pPr>
              <w:spacing w:after="20"/>
            </w:pPr>
            <w:r>
              <w:rPr>
                <w:sz w:val="17"/>
              </w:rPr>
              <w:t>2.13</w:t>
            </w:r>
          </w:p>
        </w:tc>
        <w:tc>
          <w:tcPr>
            <w:tcW w:type="dxa" w:w="3360"/>
          </w:tcPr>
          <w:p>
            <w:pPr>
              <w:spacing w:after="20"/>
            </w:pPr>
            <w:r>
              <w:rPr>
                <w:sz w:val="17"/>
              </w:rPr>
              <w:t>Mean Order Item Quantity per record.</w:t>
            </w:r>
          </w:p>
        </w:tc>
      </w:tr>
    </w:tbl>
    <w:p/>
    <w:p>
      <w:pPr>
        <w:pStyle w:val="Heading1"/>
      </w:pPr>
      <w:r>
        <w:t>6. Delivery Status Distribution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Delivery status</w:t>
            </w:r>
          </w:p>
        </w:tc>
        <w:tc>
          <w:tcPr>
            <w:tcW w:type="dxa" w:w="3360"/>
            <w:shd w:fill="17365D"/>
          </w:tcPr>
          <w:p>
            <w:r>
              <w:rPr>
                <w:b/>
                <w:color w:val="FFFFFF"/>
                <w:sz w:val="18"/>
              </w:rPr>
              <w:t>Records</w:t>
            </w:r>
          </w:p>
        </w:tc>
        <w:tc>
          <w:tcPr>
            <w:tcW w:type="dxa" w:w="3360"/>
            <w:shd w:fill="17365D"/>
          </w:tcPr>
          <w:p>
            <w:r>
              <w:rPr>
                <w:b/>
                <w:color w:val="FFFFFF"/>
                <w:sz w:val="18"/>
              </w:rPr>
              <w:t>Percentage</w:t>
            </w:r>
          </w:p>
        </w:tc>
      </w:tr>
      <w:tr>
        <w:tc>
          <w:tcPr>
            <w:tcW w:type="dxa" w:w="3360"/>
          </w:tcPr>
          <w:p>
            <w:pPr>
              <w:spacing w:after="20"/>
            </w:pPr>
            <w:r>
              <w:rPr>
                <w:sz w:val="17"/>
              </w:rPr>
              <w:t>Late delivery</w:t>
            </w:r>
          </w:p>
        </w:tc>
        <w:tc>
          <w:tcPr>
            <w:tcW w:type="dxa" w:w="3360"/>
          </w:tcPr>
          <w:p>
            <w:pPr>
              <w:spacing w:after="20"/>
            </w:pPr>
            <w:r>
              <w:rPr>
                <w:sz w:val="17"/>
              </w:rPr>
              <w:t>98,977</w:t>
            </w:r>
          </w:p>
        </w:tc>
        <w:tc>
          <w:tcPr>
            <w:tcW w:type="dxa" w:w="3360"/>
          </w:tcPr>
          <w:p>
            <w:pPr>
              <w:spacing w:after="20"/>
            </w:pPr>
            <w:r>
              <w:rPr>
                <w:sz w:val="17"/>
              </w:rPr>
              <w:t>54.83%</w:t>
            </w:r>
          </w:p>
        </w:tc>
      </w:tr>
      <w:tr>
        <w:tc>
          <w:tcPr>
            <w:tcW w:type="dxa" w:w="3360"/>
          </w:tcPr>
          <w:p>
            <w:pPr>
              <w:spacing w:after="20"/>
            </w:pPr>
            <w:r>
              <w:rPr>
                <w:sz w:val="17"/>
              </w:rPr>
              <w:t>Advance shipping</w:t>
            </w:r>
          </w:p>
        </w:tc>
        <w:tc>
          <w:tcPr>
            <w:tcW w:type="dxa" w:w="3360"/>
          </w:tcPr>
          <w:p>
            <w:pPr>
              <w:spacing w:after="20"/>
            </w:pPr>
            <w:r>
              <w:rPr>
                <w:sz w:val="17"/>
              </w:rPr>
              <w:t>41,592</w:t>
            </w:r>
          </w:p>
        </w:tc>
        <w:tc>
          <w:tcPr>
            <w:tcW w:type="dxa" w:w="3360"/>
          </w:tcPr>
          <w:p>
            <w:pPr>
              <w:spacing w:after="20"/>
            </w:pPr>
            <w:r>
              <w:rPr>
                <w:sz w:val="17"/>
              </w:rPr>
              <w:t>23.04%</w:t>
            </w:r>
          </w:p>
        </w:tc>
      </w:tr>
      <w:tr>
        <w:tc>
          <w:tcPr>
            <w:tcW w:type="dxa" w:w="3360"/>
          </w:tcPr>
          <w:p>
            <w:pPr>
              <w:spacing w:after="20"/>
            </w:pPr>
            <w:r>
              <w:rPr>
                <w:sz w:val="17"/>
              </w:rPr>
              <w:t>Shipping on time</w:t>
            </w:r>
          </w:p>
        </w:tc>
        <w:tc>
          <w:tcPr>
            <w:tcW w:type="dxa" w:w="3360"/>
          </w:tcPr>
          <w:p>
            <w:pPr>
              <w:spacing w:after="20"/>
            </w:pPr>
            <w:r>
              <w:rPr>
                <w:sz w:val="17"/>
              </w:rPr>
              <w:t>32,196</w:t>
            </w:r>
          </w:p>
        </w:tc>
        <w:tc>
          <w:tcPr>
            <w:tcW w:type="dxa" w:w="3360"/>
          </w:tcPr>
          <w:p>
            <w:pPr>
              <w:spacing w:after="20"/>
            </w:pPr>
            <w:r>
              <w:rPr>
                <w:sz w:val="17"/>
              </w:rPr>
              <w:t>17.84%</w:t>
            </w:r>
          </w:p>
        </w:tc>
      </w:tr>
      <w:tr>
        <w:tc>
          <w:tcPr>
            <w:tcW w:type="dxa" w:w="3360"/>
          </w:tcPr>
          <w:p>
            <w:pPr>
              <w:spacing w:after="20"/>
            </w:pPr>
            <w:r>
              <w:rPr>
                <w:sz w:val="17"/>
              </w:rPr>
              <w:t>Shipping canceled</w:t>
            </w:r>
          </w:p>
        </w:tc>
        <w:tc>
          <w:tcPr>
            <w:tcW w:type="dxa" w:w="3360"/>
          </w:tcPr>
          <w:p>
            <w:pPr>
              <w:spacing w:after="20"/>
            </w:pPr>
            <w:r>
              <w:rPr>
                <w:sz w:val="17"/>
              </w:rPr>
              <w:t>7,754</w:t>
            </w:r>
          </w:p>
        </w:tc>
        <w:tc>
          <w:tcPr>
            <w:tcW w:type="dxa" w:w="3360"/>
          </w:tcPr>
          <w:p>
            <w:pPr>
              <w:spacing w:after="20"/>
            </w:pPr>
            <w:r>
              <w:rPr>
                <w:sz w:val="17"/>
              </w:rPr>
              <w:t>4.30%</w:t>
            </w:r>
          </w:p>
        </w:tc>
      </w:tr>
    </w:tbl>
    <w:p/>
    <w:p>
      <w:r>
        <w:t>Late delivery is the largest category in the dataset. The notebook chart was reported saved as Output/delivery_status_distribution.png.</w:t>
      </w:r>
    </w:p>
    <w:p>
      <w:pPr>
        <w:pStyle w:val="Heading1"/>
      </w:pPr>
      <w:r>
        <w:t>7. Shipping-Time Analysis</w:t>
      </w:r>
    </w:p>
    <w:p>
      <w:r>
        <w:t>Average actual shipping time was 3.497654 days and average scheduled shipping time was 2.931847 days. The average difference was 0.565808 days, rounded to 0.57 days. This indicates that actual shipping duration is longer than scheduled duration on average; it does not identify the cause of the gap.</w:t>
      </w:r>
    </w:p>
    <w:p>
      <w:pPr>
        <w:pStyle w:val="Heading1"/>
      </w:pPr>
      <w:r>
        <w:t>8. Delivery Performance by Shipping Mode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Shipping mode</w:t>
            </w:r>
          </w:p>
        </w:tc>
        <w:tc>
          <w:tcPr>
            <w:tcW w:type="dxa" w:w="5040"/>
            <w:shd w:fill="17365D"/>
          </w:tcPr>
          <w:p>
            <w:r>
              <w:rPr>
                <w:b/>
                <w:color w:val="FFFFFF"/>
                <w:sz w:val="18"/>
              </w:rPr>
              <w:t>Late-delivery rate</w:t>
            </w:r>
          </w:p>
        </w:tc>
      </w:tr>
      <w:tr>
        <w:tc>
          <w:tcPr>
            <w:tcW w:type="dxa" w:w="5040"/>
          </w:tcPr>
          <w:p>
            <w:pPr>
              <w:spacing w:after="20"/>
            </w:pPr>
            <w:r>
              <w:rPr>
                <w:sz w:val="17"/>
              </w:rPr>
              <w:t>First Class</w:t>
            </w:r>
          </w:p>
        </w:tc>
        <w:tc>
          <w:tcPr>
            <w:tcW w:type="dxa" w:w="5040"/>
          </w:tcPr>
          <w:p>
            <w:pPr>
              <w:spacing w:after="20"/>
            </w:pPr>
            <w:r>
              <w:rPr>
                <w:sz w:val="17"/>
              </w:rPr>
              <w:t>95.32%</w:t>
            </w:r>
          </w:p>
        </w:tc>
      </w:tr>
      <w:tr>
        <w:tc>
          <w:tcPr>
            <w:tcW w:type="dxa" w:w="5040"/>
          </w:tcPr>
          <w:p>
            <w:pPr>
              <w:spacing w:after="20"/>
            </w:pPr>
            <w:r>
              <w:rPr>
                <w:sz w:val="17"/>
              </w:rPr>
              <w:t>Second Class</w:t>
            </w:r>
          </w:p>
        </w:tc>
        <w:tc>
          <w:tcPr>
            <w:tcW w:type="dxa" w:w="5040"/>
          </w:tcPr>
          <w:p>
            <w:pPr>
              <w:spacing w:after="20"/>
            </w:pPr>
            <w:r>
              <w:rPr>
                <w:sz w:val="17"/>
              </w:rPr>
              <w:t>76.63%</w:t>
            </w:r>
          </w:p>
        </w:tc>
      </w:tr>
      <w:tr>
        <w:tc>
          <w:tcPr>
            <w:tcW w:type="dxa" w:w="5040"/>
          </w:tcPr>
          <w:p>
            <w:pPr>
              <w:spacing w:after="20"/>
            </w:pPr>
            <w:r>
              <w:rPr>
                <w:sz w:val="17"/>
              </w:rPr>
              <w:t>Same Day</w:t>
            </w:r>
          </w:p>
        </w:tc>
        <w:tc>
          <w:tcPr>
            <w:tcW w:type="dxa" w:w="5040"/>
          </w:tcPr>
          <w:p>
            <w:pPr>
              <w:spacing w:after="20"/>
            </w:pPr>
            <w:r>
              <w:rPr>
                <w:sz w:val="17"/>
              </w:rPr>
              <w:t>45.74%</w:t>
            </w:r>
          </w:p>
        </w:tc>
      </w:tr>
      <w:tr>
        <w:tc>
          <w:tcPr>
            <w:tcW w:type="dxa" w:w="5040"/>
          </w:tcPr>
          <w:p>
            <w:pPr>
              <w:spacing w:after="20"/>
            </w:pPr>
            <w:r>
              <w:rPr>
                <w:sz w:val="17"/>
              </w:rPr>
              <w:t>Standard Class</w:t>
            </w:r>
          </w:p>
        </w:tc>
        <w:tc>
          <w:tcPr>
            <w:tcW w:type="dxa" w:w="5040"/>
          </w:tcPr>
          <w:p>
            <w:pPr>
              <w:spacing w:after="20"/>
            </w:pPr>
            <w:r>
              <w:rPr>
                <w:sz w:val="17"/>
              </w:rPr>
              <w:t>38.07%</w:t>
            </w:r>
          </w:p>
        </w:tc>
      </w:tr>
    </w:tbl>
    <w:p/>
    <w:p>
      <w:r>
        <w:t>First Class has the highest observed rate, followed by Second Class. Standard Class has the lowest. These are descriptive comparisons and do not show that shipping mode alone causes late deliveries. Order mix, scheduling, route, and other factors should be explored before operational policy changes.</w:t>
      </w:r>
    </w:p>
    <w:p>
      <w:r>
        <w:t>Notebook chart: Output/late_delivery_by_shipping_mode.png.</w:t>
      </w:r>
    </w:p>
    <w:p>
      <w:pPr>
        <w:pStyle w:val="Heading1"/>
      </w:pPr>
      <w:r>
        <w:t>9. Delivery Performance by Customer Segment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8"/>
              </w:rPr>
              <w:t>Customer segment</w:t>
            </w:r>
          </w:p>
        </w:tc>
        <w:tc>
          <w:tcPr>
            <w:tcW w:type="dxa" w:w="2520"/>
            <w:shd w:fill="17365D"/>
          </w:tcPr>
          <w:p>
            <w:r>
              <w:rPr>
                <w:b/>
                <w:color w:val="FFFFFF"/>
                <w:sz w:val="18"/>
              </w:rPr>
              <w:t>Total records</w:t>
            </w:r>
          </w:p>
        </w:tc>
        <w:tc>
          <w:tcPr>
            <w:tcW w:type="dxa" w:w="2520"/>
            <w:shd w:fill="17365D"/>
          </w:tcPr>
          <w:p>
            <w:r>
              <w:rPr>
                <w:b/>
                <w:color w:val="FFFFFF"/>
                <w:sz w:val="18"/>
              </w:rPr>
              <w:t>Late deliveries</w:t>
            </w:r>
          </w:p>
        </w:tc>
        <w:tc>
          <w:tcPr>
            <w:tcW w:type="dxa" w:w="2520"/>
            <w:shd w:fill="17365D"/>
          </w:tcPr>
          <w:p>
            <w:r>
              <w:rPr>
                <w:b/>
                <w:color w:val="FFFFFF"/>
                <w:sz w:val="18"/>
              </w:rPr>
              <w:t>Late rate</w:t>
            </w:r>
          </w:p>
        </w:tc>
      </w:tr>
      <w:tr>
        <w:tc>
          <w:tcPr>
            <w:tcW w:type="dxa" w:w="2520"/>
          </w:tcPr>
          <w:p>
            <w:pPr>
              <w:spacing w:after="20"/>
            </w:pPr>
            <w:r>
              <w:rPr>
                <w:sz w:val="17"/>
              </w:rPr>
              <w:t>Home Office</w:t>
            </w:r>
          </w:p>
        </w:tc>
        <w:tc>
          <w:tcPr>
            <w:tcW w:type="dxa" w:w="2520"/>
          </w:tcPr>
          <w:p>
            <w:pPr>
              <w:spacing w:after="20"/>
            </w:pPr>
            <w:r>
              <w:rPr>
                <w:sz w:val="17"/>
              </w:rPr>
              <w:t>32,226</w:t>
            </w:r>
          </w:p>
        </w:tc>
        <w:tc>
          <w:tcPr>
            <w:tcW w:type="dxa" w:w="2520"/>
          </w:tcPr>
          <w:p>
            <w:pPr>
              <w:spacing w:after="20"/>
            </w:pPr>
            <w:r>
              <w:rPr>
                <w:sz w:val="17"/>
              </w:rPr>
              <w:t>17,747</w:t>
            </w:r>
          </w:p>
        </w:tc>
        <w:tc>
          <w:tcPr>
            <w:tcW w:type="dxa" w:w="2520"/>
          </w:tcPr>
          <w:p>
            <w:pPr>
              <w:spacing w:after="20"/>
            </w:pPr>
            <w:r>
              <w:rPr>
                <w:sz w:val="17"/>
              </w:rPr>
              <w:t>55.07%</w:t>
            </w:r>
          </w:p>
        </w:tc>
      </w:tr>
      <w:tr>
        <w:tc>
          <w:tcPr>
            <w:tcW w:type="dxa" w:w="2520"/>
          </w:tcPr>
          <w:p>
            <w:pPr>
              <w:spacing w:after="20"/>
            </w:pPr>
            <w:r>
              <w:rPr>
                <w:sz w:val="17"/>
              </w:rPr>
              <w:t>Consumer</w:t>
            </w:r>
          </w:p>
        </w:tc>
        <w:tc>
          <w:tcPr>
            <w:tcW w:type="dxa" w:w="2520"/>
          </w:tcPr>
          <w:p>
            <w:pPr>
              <w:spacing w:after="20"/>
            </w:pPr>
            <w:r>
              <w:rPr>
                <w:sz w:val="17"/>
              </w:rPr>
              <w:t>93,504</w:t>
            </w:r>
          </w:p>
        </w:tc>
        <w:tc>
          <w:tcPr>
            <w:tcW w:type="dxa" w:w="2520"/>
          </w:tcPr>
          <w:p>
            <w:pPr>
              <w:spacing w:after="20"/>
            </w:pPr>
            <w:r>
              <w:rPr>
                <w:sz w:val="17"/>
              </w:rPr>
              <w:t>51,248</w:t>
            </w:r>
          </w:p>
        </w:tc>
        <w:tc>
          <w:tcPr>
            <w:tcW w:type="dxa" w:w="2520"/>
          </w:tcPr>
          <w:p>
            <w:pPr>
              <w:spacing w:after="20"/>
            </w:pPr>
            <w:r>
              <w:rPr>
                <w:sz w:val="17"/>
              </w:rPr>
              <w:t>54.81%</w:t>
            </w:r>
          </w:p>
        </w:tc>
      </w:tr>
      <w:tr>
        <w:tc>
          <w:tcPr>
            <w:tcW w:type="dxa" w:w="2520"/>
          </w:tcPr>
          <w:p>
            <w:pPr>
              <w:spacing w:after="20"/>
            </w:pPr>
            <w:r>
              <w:rPr>
                <w:sz w:val="17"/>
              </w:rPr>
              <w:t>Corporate</w:t>
            </w:r>
          </w:p>
        </w:tc>
        <w:tc>
          <w:tcPr>
            <w:tcW w:type="dxa" w:w="2520"/>
          </w:tcPr>
          <w:p>
            <w:pPr>
              <w:spacing w:after="20"/>
            </w:pPr>
            <w:r>
              <w:rPr>
                <w:sz w:val="17"/>
              </w:rPr>
              <w:t>54,789</w:t>
            </w:r>
          </w:p>
        </w:tc>
        <w:tc>
          <w:tcPr>
            <w:tcW w:type="dxa" w:w="2520"/>
          </w:tcPr>
          <w:p>
            <w:pPr>
              <w:spacing w:after="20"/>
            </w:pPr>
            <w:r>
              <w:rPr>
                <w:sz w:val="17"/>
              </w:rPr>
              <w:t>29,982</w:t>
            </w:r>
          </w:p>
        </w:tc>
        <w:tc>
          <w:tcPr>
            <w:tcW w:type="dxa" w:w="2520"/>
          </w:tcPr>
          <w:p>
            <w:pPr>
              <w:spacing w:after="20"/>
            </w:pPr>
            <w:r>
              <w:rPr>
                <w:sz w:val="17"/>
              </w:rPr>
              <w:t>54.72%</w:t>
            </w:r>
          </w:p>
        </w:tc>
      </w:tr>
    </w:tbl>
    <w:p/>
    <w:p>
      <w:r>
        <w:t>Home Office has the highest observed late-delivery rate, but the three rates are close, suggesting that late delivery affects all customer segments. Notebook chart: Output/late_delivery_by_customer_segment.png.</w:t>
      </w:r>
    </w:p>
    <w:p>
      <w:pPr>
        <w:pStyle w:val="Heading1"/>
      </w:pPr>
      <w:r>
        <w:t>10. Delivery Performance by Market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8"/>
              </w:rPr>
              <w:t>Market</w:t>
            </w:r>
          </w:p>
        </w:tc>
        <w:tc>
          <w:tcPr>
            <w:tcW w:type="dxa" w:w="2520"/>
            <w:shd w:fill="17365D"/>
          </w:tcPr>
          <w:p>
            <w:r>
              <w:rPr>
                <w:b/>
                <w:color w:val="FFFFFF"/>
                <w:sz w:val="18"/>
              </w:rPr>
              <w:t>Total records</w:t>
            </w:r>
          </w:p>
        </w:tc>
        <w:tc>
          <w:tcPr>
            <w:tcW w:type="dxa" w:w="2520"/>
            <w:shd w:fill="17365D"/>
          </w:tcPr>
          <w:p>
            <w:r>
              <w:rPr>
                <w:b/>
                <w:color w:val="FFFFFF"/>
                <w:sz w:val="18"/>
              </w:rPr>
              <w:t>Late deliveries</w:t>
            </w:r>
          </w:p>
        </w:tc>
        <w:tc>
          <w:tcPr>
            <w:tcW w:type="dxa" w:w="2520"/>
            <w:shd w:fill="17365D"/>
          </w:tcPr>
          <w:p>
            <w:r>
              <w:rPr>
                <w:b/>
                <w:color w:val="FFFFFF"/>
                <w:sz w:val="18"/>
              </w:rPr>
              <w:t>Late rate</w:t>
            </w:r>
          </w:p>
        </w:tc>
      </w:tr>
      <w:tr>
        <w:tc>
          <w:tcPr>
            <w:tcW w:type="dxa" w:w="2520"/>
          </w:tcPr>
          <w:p>
            <w:pPr>
              <w:spacing w:after="20"/>
            </w:pPr>
            <w:r>
              <w:rPr>
                <w:sz w:val="17"/>
              </w:rPr>
              <w:t>Europe</w:t>
            </w:r>
          </w:p>
        </w:tc>
        <w:tc>
          <w:tcPr>
            <w:tcW w:type="dxa" w:w="2520"/>
          </w:tcPr>
          <w:p>
            <w:pPr>
              <w:spacing w:after="20"/>
            </w:pPr>
            <w:r>
              <w:rPr>
                <w:sz w:val="17"/>
              </w:rPr>
              <w:t>50,252</w:t>
            </w:r>
          </w:p>
        </w:tc>
        <w:tc>
          <w:tcPr>
            <w:tcW w:type="dxa" w:w="2520"/>
          </w:tcPr>
          <w:p>
            <w:pPr>
              <w:spacing w:after="20"/>
            </w:pPr>
            <w:r>
              <w:rPr>
                <w:sz w:val="17"/>
              </w:rPr>
              <w:t>27,743</w:t>
            </w:r>
          </w:p>
        </w:tc>
        <w:tc>
          <w:tcPr>
            <w:tcW w:type="dxa" w:w="2520"/>
          </w:tcPr>
          <w:p>
            <w:pPr>
              <w:spacing w:after="20"/>
            </w:pPr>
            <w:r>
              <w:rPr>
                <w:sz w:val="17"/>
              </w:rPr>
              <w:t>55.21%</w:t>
            </w:r>
          </w:p>
        </w:tc>
      </w:tr>
      <w:tr>
        <w:tc>
          <w:tcPr>
            <w:tcW w:type="dxa" w:w="2520"/>
          </w:tcPr>
          <w:p>
            <w:pPr>
              <w:spacing w:after="20"/>
            </w:pPr>
            <w:r>
              <w:rPr>
                <w:sz w:val="17"/>
              </w:rPr>
              <w:t>Pacific Asia</w:t>
            </w:r>
          </w:p>
        </w:tc>
        <w:tc>
          <w:tcPr>
            <w:tcW w:type="dxa" w:w="2520"/>
          </w:tcPr>
          <w:p>
            <w:pPr>
              <w:spacing w:after="20"/>
            </w:pPr>
            <w:r>
              <w:rPr>
                <w:sz w:val="17"/>
              </w:rPr>
              <w:t>41,260</w:t>
            </w:r>
          </w:p>
        </w:tc>
        <w:tc>
          <w:tcPr>
            <w:tcW w:type="dxa" w:w="2520"/>
          </w:tcPr>
          <w:p>
            <w:pPr>
              <w:spacing w:after="20"/>
            </w:pPr>
            <w:r>
              <w:rPr>
                <w:sz w:val="17"/>
              </w:rPr>
              <w:t>22,712</w:t>
            </w:r>
          </w:p>
        </w:tc>
        <w:tc>
          <w:tcPr>
            <w:tcW w:type="dxa" w:w="2520"/>
          </w:tcPr>
          <w:p>
            <w:pPr>
              <w:spacing w:after="20"/>
            </w:pPr>
            <w:r>
              <w:rPr>
                <w:sz w:val="17"/>
              </w:rPr>
              <w:t>55.05%</w:t>
            </w:r>
          </w:p>
        </w:tc>
      </w:tr>
      <w:tr>
        <w:tc>
          <w:tcPr>
            <w:tcW w:type="dxa" w:w="2520"/>
          </w:tcPr>
          <w:p>
            <w:pPr>
              <w:spacing w:after="20"/>
            </w:pPr>
            <w:r>
              <w:rPr>
                <w:sz w:val="17"/>
              </w:rPr>
              <w:t>USCA</w:t>
            </w:r>
          </w:p>
        </w:tc>
        <w:tc>
          <w:tcPr>
            <w:tcW w:type="dxa" w:w="2520"/>
          </w:tcPr>
          <w:p>
            <w:pPr>
              <w:spacing w:after="20"/>
            </w:pPr>
            <w:r>
              <w:rPr>
                <w:sz w:val="17"/>
              </w:rPr>
              <w:t>25,799</w:t>
            </w:r>
          </w:p>
        </w:tc>
        <w:tc>
          <w:tcPr>
            <w:tcW w:type="dxa" w:w="2520"/>
          </w:tcPr>
          <w:p>
            <w:pPr>
              <w:spacing w:after="20"/>
            </w:pPr>
            <w:r>
              <w:rPr>
                <w:sz w:val="17"/>
              </w:rPr>
              <w:t>14,138</w:t>
            </w:r>
          </w:p>
        </w:tc>
        <w:tc>
          <w:tcPr>
            <w:tcW w:type="dxa" w:w="2520"/>
          </w:tcPr>
          <w:p>
            <w:pPr>
              <w:spacing w:after="20"/>
            </w:pPr>
            <w:r>
              <w:rPr>
                <w:sz w:val="17"/>
              </w:rPr>
              <w:t>54.80%</w:t>
            </w:r>
          </w:p>
        </w:tc>
      </w:tr>
      <w:tr>
        <w:tc>
          <w:tcPr>
            <w:tcW w:type="dxa" w:w="2520"/>
          </w:tcPr>
          <w:p>
            <w:pPr>
              <w:spacing w:after="20"/>
            </w:pPr>
            <w:r>
              <w:rPr>
                <w:sz w:val="17"/>
              </w:rPr>
              <w:t>Africa</w:t>
            </w:r>
          </w:p>
        </w:tc>
        <w:tc>
          <w:tcPr>
            <w:tcW w:type="dxa" w:w="2520"/>
          </w:tcPr>
          <w:p>
            <w:pPr>
              <w:spacing w:after="20"/>
            </w:pPr>
            <w:r>
              <w:rPr>
                <w:sz w:val="17"/>
              </w:rPr>
              <w:t>11,614</w:t>
            </w:r>
          </w:p>
        </w:tc>
        <w:tc>
          <w:tcPr>
            <w:tcW w:type="dxa" w:w="2520"/>
          </w:tcPr>
          <w:p>
            <w:pPr>
              <w:spacing w:after="20"/>
            </w:pPr>
            <w:r>
              <w:rPr>
                <w:sz w:val="17"/>
              </w:rPr>
              <w:t>6,340</w:t>
            </w:r>
          </w:p>
        </w:tc>
        <w:tc>
          <w:tcPr>
            <w:tcW w:type="dxa" w:w="2520"/>
          </w:tcPr>
          <w:p>
            <w:pPr>
              <w:spacing w:after="20"/>
            </w:pPr>
            <w:r>
              <w:rPr>
                <w:sz w:val="17"/>
              </w:rPr>
              <w:t>54.59%</w:t>
            </w:r>
          </w:p>
        </w:tc>
      </w:tr>
      <w:tr>
        <w:tc>
          <w:tcPr>
            <w:tcW w:type="dxa" w:w="2520"/>
          </w:tcPr>
          <w:p>
            <w:pPr>
              <w:spacing w:after="20"/>
            </w:pPr>
            <w:r>
              <w:rPr>
                <w:sz w:val="17"/>
              </w:rPr>
              <w:t>LATAM</w:t>
            </w:r>
          </w:p>
        </w:tc>
        <w:tc>
          <w:tcPr>
            <w:tcW w:type="dxa" w:w="2520"/>
          </w:tcPr>
          <w:p>
            <w:pPr>
              <w:spacing w:after="20"/>
            </w:pPr>
            <w:r>
              <w:rPr>
                <w:sz w:val="17"/>
              </w:rPr>
              <w:t>51,594</w:t>
            </w:r>
          </w:p>
        </w:tc>
        <w:tc>
          <w:tcPr>
            <w:tcW w:type="dxa" w:w="2520"/>
          </w:tcPr>
          <w:p>
            <w:pPr>
              <w:spacing w:after="20"/>
            </w:pPr>
            <w:r>
              <w:rPr>
                <w:sz w:val="17"/>
              </w:rPr>
              <w:t>28,044</w:t>
            </w:r>
          </w:p>
        </w:tc>
        <w:tc>
          <w:tcPr>
            <w:tcW w:type="dxa" w:w="2520"/>
          </w:tcPr>
          <w:p>
            <w:pPr>
              <w:spacing w:after="20"/>
            </w:pPr>
            <w:r>
              <w:rPr>
                <w:sz w:val="17"/>
              </w:rPr>
              <w:t>54.36%</w:t>
            </w:r>
          </w:p>
        </w:tc>
      </w:tr>
    </w:tbl>
    <w:p/>
    <w:p>
      <w:r>
        <w:t>Europe has the highest observed market rate and LATAM the lowest, a difference of 0.85 percentage points. Rates are relatively similar across markets. Notebook chart: Output/late_delivery_by_market.png.</w:t>
      </w:r>
    </w:p>
    <w:p>
      <w:pPr>
        <w:pStyle w:val="Heading1"/>
      </w:pPr>
      <w:r>
        <w:t>11. Initial Data Quality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8"/>
              </w:rPr>
              <w:t>Column</w:t>
            </w:r>
          </w:p>
        </w:tc>
        <w:tc>
          <w:tcPr>
            <w:tcW w:type="dxa" w:w="2520"/>
            <w:shd w:fill="17365D"/>
          </w:tcPr>
          <w:p>
            <w:r>
              <w:rPr>
                <w:b/>
                <w:color w:val="FFFFFF"/>
                <w:sz w:val="18"/>
              </w:rPr>
              <w:t>Missing values</w:t>
            </w:r>
          </w:p>
        </w:tc>
        <w:tc>
          <w:tcPr>
            <w:tcW w:type="dxa" w:w="2520"/>
            <w:shd w:fill="17365D"/>
          </w:tcPr>
          <w:p>
            <w:r>
              <w:rPr>
                <w:b/>
                <w:color w:val="FFFFFF"/>
                <w:sz w:val="18"/>
              </w:rPr>
              <w:t>Missing %</w:t>
            </w:r>
          </w:p>
        </w:tc>
        <w:tc>
          <w:tcPr>
            <w:tcW w:type="dxa" w:w="2520"/>
            <w:shd w:fill="17365D"/>
          </w:tcPr>
          <w:p>
            <w:r>
              <w:rPr>
                <w:b/>
                <w:color w:val="FFFFFF"/>
                <w:sz w:val="18"/>
              </w:rPr>
              <w:t>Initial assessment</w:t>
            </w:r>
          </w:p>
        </w:tc>
      </w:tr>
      <w:tr>
        <w:tc>
          <w:tcPr>
            <w:tcW w:type="dxa" w:w="2520"/>
          </w:tcPr>
          <w:p>
            <w:pPr>
              <w:spacing w:after="20"/>
            </w:pPr>
            <w:r>
              <w:rPr>
                <w:sz w:val="17"/>
              </w:rPr>
              <w:t>Product Description</w:t>
            </w:r>
          </w:p>
        </w:tc>
        <w:tc>
          <w:tcPr>
            <w:tcW w:type="dxa" w:w="2520"/>
          </w:tcPr>
          <w:p>
            <w:pPr>
              <w:spacing w:after="20"/>
            </w:pPr>
            <w:r>
              <w:rPr>
                <w:sz w:val="17"/>
              </w:rPr>
              <w:t>180,519</w:t>
            </w:r>
          </w:p>
        </w:tc>
        <w:tc>
          <w:tcPr>
            <w:tcW w:type="dxa" w:w="2520"/>
          </w:tcPr>
          <w:p>
            <w:pPr>
              <w:spacing w:after="20"/>
            </w:pPr>
            <w:r>
              <w:rPr>
                <w:sz w:val="17"/>
              </w:rPr>
              <w:t>100.00%</w:t>
            </w:r>
          </w:p>
        </w:tc>
        <w:tc>
          <w:tcPr>
            <w:tcW w:type="dxa" w:w="2520"/>
          </w:tcPr>
          <w:p>
            <w:pPr>
              <w:spacing w:after="20"/>
            </w:pPr>
            <w:r>
              <w:rPr>
                <w:sz w:val="17"/>
              </w:rPr>
              <w:t>Entire column empty; assess whether needed.</w:t>
            </w:r>
          </w:p>
        </w:tc>
      </w:tr>
      <w:tr>
        <w:tc>
          <w:tcPr>
            <w:tcW w:type="dxa" w:w="2520"/>
          </w:tcPr>
          <w:p>
            <w:pPr>
              <w:spacing w:after="20"/>
            </w:pPr>
            <w:r>
              <w:rPr>
                <w:sz w:val="17"/>
              </w:rPr>
              <w:t>Order Zipcode</w:t>
            </w:r>
          </w:p>
        </w:tc>
        <w:tc>
          <w:tcPr>
            <w:tcW w:type="dxa" w:w="2520"/>
          </w:tcPr>
          <w:p>
            <w:pPr>
              <w:spacing w:after="20"/>
            </w:pPr>
            <w:r>
              <w:rPr>
                <w:sz w:val="17"/>
              </w:rPr>
              <w:t>155,679</w:t>
            </w:r>
          </w:p>
        </w:tc>
        <w:tc>
          <w:tcPr>
            <w:tcW w:type="dxa" w:w="2520"/>
          </w:tcPr>
          <w:p>
            <w:pPr>
              <w:spacing w:after="20"/>
            </w:pPr>
            <w:r>
              <w:rPr>
                <w:sz w:val="17"/>
              </w:rPr>
              <w:t>86.24%</w:t>
            </w:r>
          </w:p>
        </w:tc>
        <w:tc>
          <w:tcPr>
            <w:tcW w:type="dxa" w:w="2520"/>
          </w:tcPr>
          <w:p>
            <w:pPr>
              <w:spacing w:after="20"/>
            </w:pPr>
            <w:r>
              <w:rPr>
                <w:sz w:val="17"/>
              </w:rPr>
              <w:t>Large proportion missing; investigate relevance.</w:t>
            </w:r>
          </w:p>
        </w:tc>
      </w:tr>
      <w:tr>
        <w:tc>
          <w:tcPr>
            <w:tcW w:type="dxa" w:w="2520"/>
          </w:tcPr>
          <w:p>
            <w:pPr>
              <w:spacing w:after="20"/>
            </w:pPr>
            <w:r>
              <w:rPr>
                <w:sz w:val="17"/>
              </w:rPr>
              <w:t>Customer Lname</w:t>
            </w:r>
          </w:p>
        </w:tc>
        <w:tc>
          <w:tcPr>
            <w:tcW w:type="dxa" w:w="2520"/>
          </w:tcPr>
          <w:p>
            <w:pPr>
              <w:spacing w:after="20"/>
            </w:pPr>
            <w:r>
              <w:rPr>
                <w:sz w:val="17"/>
              </w:rPr>
              <w:t>8</w:t>
            </w:r>
          </w:p>
        </w:tc>
        <w:tc>
          <w:tcPr>
            <w:tcW w:type="dxa" w:w="2520"/>
          </w:tcPr>
          <w:p>
            <w:pPr>
              <w:spacing w:after="20"/>
            </w:pPr>
            <w:r>
              <w:rPr>
                <w:sz w:val="17"/>
              </w:rPr>
              <w:t>Approx. 0.00%</w:t>
            </w:r>
          </w:p>
        </w:tc>
        <w:tc>
          <w:tcPr>
            <w:tcW w:type="dxa" w:w="2520"/>
          </w:tcPr>
          <w:p>
            <w:pPr>
              <w:spacing w:after="20"/>
            </w:pPr>
            <w:r>
              <w:rPr>
                <w:sz w:val="17"/>
              </w:rPr>
              <w:t>Small number missing.</w:t>
            </w:r>
          </w:p>
        </w:tc>
      </w:tr>
      <w:tr>
        <w:tc>
          <w:tcPr>
            <w:tcW w:type="dxa" w:w="2520"/>
          </w:tcPr>
          <w:p>
            <w:pPr>
              <w:spacing w:after="20"/>
            </w:pPr>
            <w:r>
              <w:rPr>
                <w:sz w:val="17"/>
              </w:rPr>
              <w:t>Customer Zipcode</w:t>
            </w:r>
          </w:p>
        </w:tc>
        <w:tc>
          <w:tcPr>
            <w:tcW w:type="dxa" w:w="2520"/>
          </w:tcPr>
          <w:p>
            <w:pPr>
              <w:spacing w:after="20"/>
            </w:pPr>
            <w:r>
              <w:rPr>
                <w:sz w:val="17"/>
              </w:rPr>
              <w:t>3</w:t>
            </w:r>
          </w:p>
        </w:tc>
        <w:tc>
          <w:tcPr>
            <w:tcW w:type="dxa" w:w="2520"/>
          </w:tcPr>
          <w:p>
            <w:pPr>
              <w:spacing w:after="20"/>
            </w:pPr>
            <w:r>
              <w:rPr>
                <w:sz w:val="17"/>
              </w:rPr>
              <w:t>Approx. 0.00%</w:t>
            </w:r>
          </w:p>
        </w:tc>
        <w:tc>
          <w:tcPr>
            <w:tcW w:type="dxa" w:w="2520"/>
          </w:tcPr>
          <w:p>
            <w:pPr>
              <w:spacing w:after="20"/>
            </w:pPr>
            <w:r>
              <w:rPr>
                <w:sz w:val="17"/>
              </w:rPr>
              <w:t>Very small number missing.</w:t>
            </w:r>
          </w:p>
        </w:tc>
      </w:tr>
    </w:tbl>
    <w:p/>
    <w:p>
      <w:r>
        <w:t>The percentages for Customer Lname and Customer Zipcode round to 0.00% at two decimal places, but their missing counts are non-zero. No changes were made to the original data during this initial check. Cleaning decisions should be documented in Week 2.</w:t>
      </w:r>
    </w:p>
    <w:p>
      <w:pPr>
        <w:pStyle w:val="Heading1"/>
      </w:pPr>
      <w:r>
        <w:t>12. Strategic Recommendations</w:t>
      </w:r>
    </w:p>
    <w:p>
      <w:pPr>
        <w:pStyle w:val="ListNumber"/>
      </w:pPr>
      <w:r>
        <w:rPr>
          <w:b/>
        </w:rPr>
        <w:t xml:space="preserve">Investigate the shipping-time gap. </w:t>
      </w:r>
      <w:r>
        <w:t>Explore scheduling assumptions, dispatch timing, transit duration, and field definitions.</w:t>
      </w:r>
    </w:p>
    <w:p>
      <w:pPr>
        <w:pStyle w:val="ListNumber"/>
      </w:pPr>
      <w:r>
        <w:rPr>
          <w:b/>
        </w:rPr>
        <w:t xml:space="preserve">Review First Class and Second Class deliveries. </w:t>
      </w:r>
      <w:r>
        <w:t>Validate the high observed rates and compare routes, scheduling, and order characteristics.</w:t>
      </w:r>
    </w:p>
    <w:p>
      <w:pPr>
        <w:pStyle w:val="ListNumber"/>
      </w:pPr>
      <w:r>
        <w:rPr>
          <w:b/>
        </w:rPr>
        <w:t xml:space="preserve">Analyze delay drivers. </w:t>
      </w:r>
      <w:r>
        <w:t>Compare outcomes by geography, dates, and other relevant fields available in the dataset.</w:t>
      </w:r>
    </w:p>
    <w:p>
      <w:pPr>
        <w:pStyle w:val="ListNumber"/>
      </w:pPr>
      <w:r>
        <w:rPr>
          <w:b/>
        </w:rPr>
        <w:t xml:space="preserve">Improve data quality. </w:t>
      </w:r>
      <w:r>
        <w:t>Assess the empty Product Description field and incomplete Order Zipcode values; document decisions.</w:t>
      </w:r>
    </w:p>
    <w:p>
      <w:pPr>
        <w:pStyle w:val="ListNumber"/>
      </w:pPr>
      <w:r>
        <w:rPr>
          <w:b/>
        </w:rPr>
        <w:t xml:space="preserve">Build and evaluate predictive models carefully. </w:t>
      </w:r>
      <w:r>
        <w:t>After cleaning and exploratory analysis, evaluate a late-delivery model and guard against data leakage.</w:t>
      </w:r>
    </w:p>
    <w:p>
      <w:pPr>
        <w:pStyle w:val="ListNumber"/>
      </w:pPr>
      <w:r>
        <w:rPr>
          <w:b/>
        </w:rPr>
        <w:t xml:space="preserve">Monitor KPIs. </w:t>
      </w:r>
      <w:r>
        <w:t>Track delivery status, actual-versus-scheduled time, cancellations, and group-level patterns over time where appropriate.</w:t>
      </w:r>
    </w:p>
    <w:p>
      <w:pPr>
        <w:pStyle w:val="Heading1"/>
      </w:pPr>
      <w:r>
        <w:t>13. Limitations</w:t>
      </w:r>
    </w:p>
    <w:p>
      <w:pPr>
        <w:pStyle w:val="ListBullet"/>
      </w:pPr>
      <w:r>
        <w:t>This report is descriptive and does not establish causal relationships.</w:t>
      </w:r>
    </w:p>
    <w:p>
      <w:pPr>
        <w:pStyle w:val="ListBullet"/>
      </w:pPr>
      <w:r>
        <w:t>The currency or unit for Sales was not established from the supplied outputs.</w:t>
      </w:r>
    </w:p>
    <w:p>
      <w:pPr>
        <w:pStyle w:val="ListBullet"/>
      </w:pPr>
      <w:r>
        <w:t>Average Sales per record is not the same as average sales per unique order.</w:t>
      </w:r>
    </w:p>
    <w:p>
      <w:pPr>
        <w:pStyle w:val="ListBullet"/>
      </w:pPr>
      <w:r>
        <w:t>Group-level differences may reflect order mix or other confounding factors.</w:t>
      </w:r>
    </w:p>
    <w:p>
      <w:pPr>
        <w:pStyle w:val="ListBullet"/>
      </w:pPr>
      <w:r>
        <w:t>The total missing-cell count is not the count of distinct rows containing at least one missing value.</w:t>
      </w:r>
    </w:p>
    <w:p>
      <w:pPr>
        <w:pStyle w:val="Heading1"/>
      </w:pPr>
      <w:r>
        <w:t>14. Conclusion and Next Steps</w:t>
      </w:r>
    </w:p>
    <w:p>
      <w:r>
        <w:t>Week 1 establishes a baseline for the logistics dataset and identifies late delivery as the primary performance concern. The 54.83% late-delivery rate and 0.57-day average shipping-time gap warrant further investigation. Shipping-mode rates differ notably, while customer-segment and market rates are relatively close. Data quality issues, especially the fully missing Product Description column and incomplete Order Zipcode field, should be addressed systematically.</w:t>
      </w:r>
    </w:p>
    <w:p>
      <w:r>
        <w:t>The next phase is Week 2: data cleaning and preprocessing. This should include a documented missing-value strategy, data-type and validity checks, justified treatment of outliers, and preparation of a reproducible analysis dataset. Later weeks can build toward advanced visualization, predictive modeling, and optimization.</w:t>
      </w:r>
    </w:p>
    <w:p>
      <w:pPr>
        <w:pStyle w:val="Heading1"/>
      </w:pPr>
      <w:r>
        <w:t>Appendix A. Week 1 Output Files</w:t>
      </w:r>
    </w:p>
    <w:p>
      <w:pPr>
        <w:pStyle w:val="ListBullet"/>
      </w:pPr>
      <w:r>
        <w:t>delivery_status_distribution.png</w:t>
      </w:r>
    </w:p>
    <w:p>
      <w:pPr>
        <w:pStyle w:val="ListBullet"/>
      </w:pPr>
      <w:r>
        <w:t>late_delivery_by_shipping_mode.png</w:t>
      </w:r>
    </w:p>
    <w:p>
      <w:pPr>
        <w:pStyle w:val="ListBullet"/>
      </w:pPr>
      <w:r>
        <w:t>late_delivery_by_customer_segment.png</w:t>
      </w:r>
    </w:p>
    <w:p>
      <w:pPr>
        <w:pStyle w:val="ListBullet"/>
      </w:pPr>
      <w:r>
        <w:t>late_delivery_by_market.png</w:t>
      </w:r>
    </w:p>
    <w:p>
      <w:pPr>
        <w:pStyle w:val="ListBullet"/>
      </w:pPr>
      <w:r>
        <w:t>week1_kpi_summary.csv</w:t>
      </w:r>
    </w:p>
    <w:p>
      <w:r>
        <w:t>Confirm each listed file is present in the project's Output folder before submission. The report records the filenames reported as saved during notebook work.</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Strategic Planning and Data Exploration in Logistics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 LOGISTICS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