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matic SC" w:cs="Amatic SC" w:eastAsia="Amatic SC" w:hAnsi="Amatic SC"/>
          <w:b w:val="1"/>
          <w:color w:val="212121"/>
          <w:sz w:val="100.4"/>
          <w:szCs w:val="100.4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100.4"/>
          <w:szCs w:val="100.4"/>
          <w:rtl w:val="0"/>
        </w:rPr>
        <w:t xml:space="preserve">DS-1 Project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Amatic SC" w:cs="Amatic SC" w:eastAsia="Amatic SC" w:hAnsi="Amatic SC"/>
          <w:b w:val="1"/>
          <w:color w:val="212121"/>
          <w:sz w:val="78.4"/>
          <w:szCs w:val="78.4"/>
          <w:rtl w:val="0"/>
        </w:rPr>
        <w:t xml:space="preserve">TweetNiche: A tool for user niche exploration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rFonts w:ascii="Amatic SC" w:cs="Amatic SC" w:eastAsia="Amatic SC" w:hAnsi="Amatic SC"/>
          <w:b w:val="1"/>
          <w:i w:val="1"/>
          <w:sz w:val="62"/>
          <w:szCs w:val="62"/>
        </w:rPr>
      </w:pPr>
      <w:hyperlink r:id="rId6">
        <w:r w:rsidDel="00000000" w:rsidR="00000000" w:rsidRPr="00000000">
          <w:rPr>
            <w:rFonts w:ascii="Amatic SC" w:cs="Amatic SC" w:eastAsia="Amatic SC" w:hAnsi="Amatic SC"/>
            <w:b w:val="1"/>
            <w:i w:val="1"/>
            <w:color w:val="1155cc"/>
            <w:sz w:val="62"/>
            <w:szCs w:val="62"/>
            <w:u w:val="single"/>
            <w:rtl w:val="0"/>
          </w:rPr>
          <w:t xml:space="preserve">Link for the deployed model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awing-garden-45544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