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Day 8: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Q1. </w:t>
      </w:r>
      <w:r w:rsidDel="00000000" w:rsidR="00000000" w:rsidRPr="00000000">
        <w:rPr>
          <w:sz w:val="36"/>
          <w:szCs w:val="36"/>
          <w:rtl w:val="0"/>
        </w:rPr>
        <w:t xml:space="preserve">What's the best pizza topping?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Mushrooms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Pineapple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Sweetcorn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Which of you fools like pizza?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Q2.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Which lie do you tell most often?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Working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On my way!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I’m listening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 didn’t see your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Have you heard about Harishchandra?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Q3.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Which of these are you most afraid of?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Spiders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Heights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Closed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Darkness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 have told you a hundred times that i am a superman</w:t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Q4. If you get a chance to use one doremon gadget, which one would you prefer?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Time machine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Anywhere door to annoy my friends anytime.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Small light to make dora cake large.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Bamboo copter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