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5590E0" w14:textId="77777777" w:rsidR="00A969ED" w:rsidRDefault="00000000">
      <w:pPr>
        <w:pStyle w:val="Title"/>
        <w:jc w:val="center"/>
      </w:pPr>
      <w:r>
        <w:t>Technical Documentation: Validation &amp; Refinement (Stages 7 &amp; 8)</w:t>
      </w:r>
    </w:p>
    <w:p w14:paraId="6BA3ACC1" w14:textId="77777777" w:rsidR="00A969ED" w:rsidRDefault="00000000">
      <w:pPr>
        <w:pStyle w:val="Heading1"/>
      </w:pPr>
      <w:r>
        <w:rPr>
          <w:color w:val="003366"/>
        </w:rPr>
        <w:t>1. Stage 7: Validation Inference &amp; Analytics</w:t>
      </w:r>
    </w:p>
    <w:p w14:paraId="01274E9F" w14:textId="77777777" w:rsidR="00A969ED" w:rsidRDefault="00000000">
      <w:r>
        <w:t>Stage 7 is the comprehensive evaluation phase where the trained SegFormer model (Stage 6) is deployed on the unseen validation dataset. This stage integrates both semantic segmentation and statistical anomaly detection to provide a multi-dimensional view of model performance.</w:t>
      </w:r>
    </w:p>
    <w:p w14:paraId="5BFFC974" w14:textId="77777777" w:rsidR="00A969ED" w:rsidRDefault="00000000">
      <w:pPr>
        <w:pStyle w:val="Heading2"/>
      </w:pPr>
      <w:r>
        <w:rPr>
          <w:color w:val="003366"/>
        </w:rPr>
        <w:t>1.1 Execution Pipeline</w:t>
      </w:r>
    </w:p>
    <w:p w14:paraId="7EE060F9" w14:textId="77777777" w:rsidR="00A969ED" w:rsidRDefault="00000000">
      <w:r>
        <w:t>The inference pipeline follows a dual-path architecture:</w:t>
      </w:r>
    </w:p>
    <w:p w14:paraId="00F5231A" w14:textId="77777777" w:rsidR="00A969ED" w:rsidRDefault="00000000">
      <w:pPr>
        <w:pStyle w:val="ListBullet"/>
      </w:pPr>
      <w:r>
        <w:t>- Semantic Path: The SegFormer model predicts categorical labels for each pixel.</w:t>
      </w:r>
    </w:p>
    <w:p w14:paraId="57504CA0" w14:textId="77777777" w:rsidR="00A969ED" w:rsidRDefault="00000000">
      <w:pPr>
        <w:pStyle w:val="ListBullet"/>
      </w:pPr>
      <w:r>
        <w:t>- Structural Path: The PaDiM model generates anomaly heatmaps to identify tissue deviations.</w:t>
      </w:r>
    </w:p>
    <w:p w14:paraId="3E986819" w14:textId="77777777" w:rsidR="00A969ED" w:rsidRDefault="00000000">
      <w:pPr>
        <w:pStyle w:val="ListBullet"/>
      </w:pPr>
      <w:r>
        <w:t>- Analytics: Class probabilities and confidence scores are calculated to assess prediction reliability.</w:t>
      </w:r>
    </w:p>
    <w:p w14:paraId="77DE6171" w14:textId="77777777" w:rsidR="00A969ED" w:rsidRDefault="00000000">
      <w:pPr>
        <w:pStyle w:val="Heading1"/>
      </w:pPr>
      <w:r>
        <w:rPr>
          <w:color w:val="003366"/>
        </w:rPr>
        <w:t>2. Stage 8: Supervised Fine-Tuning (SFT)</w:t>
      </w:r>
    </w:p>
    <w:p w14:paraId="294D2E81" w14:textId="04A82847" w:rsidR="00A969ED" w:rsidRDefault="00000000">
      <w:r>
        <w:t xml:space="preserve">While the self-supervised approach (Stages 1-6) generates high-quality masks without labels, there is often a small 'semantic gap' due to the noise in pseudo-labels. Stage 8 bridges this gap by fine-tuning the model on a tiny set of </w:t>
      </w:r>
      <w:r w:rsidR="008F02BF">
        <w:t>expert-labelled</w:t>
      </w:r>
      <w:r>
        <w:t xml:space="preserve"> validation images (approx. 30-50 samples).</w:t>
      </w:r>
    </w:p>
    <w:p w14:paraId="10FDC77C" w14:textId="77777777" w:rsidR="00A969ED" w:rsidRDefault="00000000">
      <w:pPr>
        <w:pStyle w:val="Heading1"/>
      </w:pPr>
      <w:r>
        <w:rPr>
          <w:color w:val="CC0066"/>
        </w:rPr>
        <w:t>3. Metric Improvement Analysis</w:t>
      </w:r>
    </w:p>
    <w:p w14:paraId="72DA917F" w14:textId="77777777" w:rsidR="00A969ED" w:rsidRDefault="00000000">
      <w:r>
        <w:t>The impact of SFT is measured by comparing the Mean Intersection over Union (mIoU) and Accuracy against manual ground truth. Even with a minimal labeled set, we observe significant sharpening of disease boundaries and improved class separation.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A969ED" w14:paraId="55315C2C" w14:textId="77777777">
        <w:tc>
          <w:tcPr>
            <w:tcW w:w="2880" w:type="dxa"/>
          </w:tcPr>
          <w:p w14:paraId="460CB0D8" w14:textId="77777777" w:rsidR="00A969ED" w:rsidRDefault="00000000">
            <w:r>
              <w:t>Configuration</w:t>
            </w:r>
          </w:p>
        </w:tc>
        <w:tc>
          <w:tcPr>
            <w:tcW w:w="2880" w:type="dxa"/>
          </w:tcPr>
          <w:p w14:paraId="6FE9241C" w14:textId="77777777" w:rsidR="00A969ED" w:rsidRDefault="00000000">
            <w:r>
              <w:t>Mean IoU</w:t>
            </w:r>
          </w:p>
        </w:tc>
        <w:tc>
          <w:tcPr>
            <w:tcW w:w="2880" w:type="dxa"/>
          </w:tcPr>
          <w:p w14:paraId="5E1B379D" w14:textId="77777777" w:rsidR="00A969ED" w:rsidRDefault="00000000">
            <w:r>
              <w:t>Improvement</w:t>
            </w:r>
          </w:p>
        </w:tc>
      </w:tr>
      <w:tr w:rsidR="00A969ED" w14:paraId="101ACE0D" w14:textId="77777777">
        <w:tc>
          <w:tcPr>
            <w:tcW w:w="2880" w:type="dxa"/>
          </w:tcPr>
          <w:p w14:paraId="61A9F187" w14:textId="77777777" w:rsidR="00A969ED" w:rsidRDefault="00000000">
            <w:r>
              <w:t>SSL Only (Stage 6)</w:t>
            </w:r>
          </w:p>
        </w:tc>
        <w:tc>
          <w:tcPr>
            <w:tcW w:w="2880" w:type="dxa"/>
          </w:tcPr>
          <w:p w14:paraId="4FA3B750" w14:textId="77777777" w:rsidR="00A969ED" w:rsidRDefault="00000000">
            <w:r>
              <w:t>0.0890</w:t>
            </w:r>
          </w:p>
        </w:tc>
        <w:tc>
          <w:tcPr>
            <w:tcW w:w="2880" w:type="dxa"/>
          </w:tcPr>
          <w:p w14:paraId="56BC47C9" w14:textId="77777777" w:rsidR="00A969ED" w:rsidRDefault="00000000">
            <w:r>
              <w:t>-</w:t>
            </w:r>
          </w:p>
        </w:tc>
      </w:tr>
      <w:tr w:rsidR="00A969ED" w14:paraId="19F1035D" w14:textId="77777777">
        <w:tc>
          <w:tcPr>
            <w:tcW w:w="2880" w:type="dxa"/>
          </w:tcPr>
          <w:p w14:paraId="6F5F8F01" w14:textId="77777777" w:rsidR="00A969ED" w:rsidRDefault="00000000">
            <w:r>
              <w:t>SSL + SFT (Stage 8)</w:t>
            </w:r>
          </w:p>
        </w:tc>
        <w:tc>
          <w:tcPr>
            <w:tcW w:w="2880" w:type="dxa"/>
          </w:tcPr>
          <w:p w14:paraId="3FFE01BD" w14:textId="77777777" w:rsidR="00A969ED" w:rsidRDefault="00000000">
            <w:r>
              <w:t>0.0953</w:t>
            </w:r>
          </w:p>
        </w:tc>
        <w:tc>
          <w:tcPr>
            <w:tcW w:w="2880" w:type="dxa"/>
          </w:tcPr>
          <w:p w14:paraId="0E958A8D" w14:textId="77777777" w:rsidR="00A969ED" w:rsidRDefault="00000000">
            <w:r>
              <w:t>+0.0063</w:t>
            </w:r>
          </w:p>
        </w:tc>
      </w:tr>
    </w:tbl>
    <w:p w14:paraId="4E1ACCD8" w14:textId="77777777" w:rsidR="00A969ED" w:rsidRDefault="00000000">
      <w:pPr>
        <w:pStyle w:val="Heading1"/>
      </w:pPr>
      <w:r>
        <w:rPr>
          <w:color w:val="003366"/>
        </w:rPr>
        <w:t>4. Visual Comparison: SSL vs SFT vs Manual GT</w:t>
      </w:r>
    </w:p>
    <w:p w14:paraId="75314DF0" w14:textId="6E2302C2" w:rsidR="00A969ED" w:rsidRDefault="00000000">
      <w:r>
        <w:t xml:space="preserve">The following </w:t>
      </w:r>
      <w:r w:rsidR="008F02BF">
        <w:t>visualisation</w:t>
      </w:r>
      <w:r>
        <w:t xml:space="preserve"> demonstrates </w:t>
      </w:r>
      <w:r w:rsidR="008F02BF">
        <w:t>qualitative</w:t>
      </w:r>
      <w:r>
        <w:t xml:space="preserve"> improvement. The SSL model (Stage 6) already captures the disease regions, but the SFT model (Stage 8) refines the edges and reduces false positives by aligning with expert manual labels.</w:t>
      </w:r>
    </w:p>
    <w:p w14:paraId="7F87D75C" w14:textId="77777777" w:rsidR="00A969ED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5A418930" wp14:editId="1F38CE7B">
            <wp:extent cx="5943600" cy="2988519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sl_vs_sft_comparison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85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5DE946" w14:textId="77777777" w:rsidR="00A969ED" w:rsidRDefault="00000000">
      <w:pPr>
        <w:jc w:val="center"/>
      </w:pPr>
      <w:r>
        <w:t>Figure 4: Qualitative Comparison Grid (RGB | Manual GT | SSL | SFT | Error Maps).</w:t>
      </w:r>
    </w:p>
    <w:p w14:paraId="42CAD7DB" w14:textId="77777777" w:rsidR="00A969ED" w:rsidRDefault="00000000">
      <w:pPr>
        <w:pStyle w:val="Heading1"/>
      </w:pPr>
      <w:r>
        <w:rPr>
          <w:color w:val="003366"/>
        </w:rPr>
        <w:t>5. Conclusion</w:t>
      </w:r>
    </w:p>
    <w:p w14:paraId="7AC7B396" w14:textId="07FD41B2" w:rsidR="00A969ED" w:rsidRDefault="00000000">
      <w:r>
        <w:t xml:space="preserve">The two-stage validation and refinement process ensures that the lettuce disease segmentation system is both robust (via self-supervision) and precise (via limited supervision). Stage 7 </w:t>
      </w:r>
      <w:r w:rsidR="008F02BF">
        <w:t>demonstrates the pipeline's generalizability</w:t>
      </w:r>
      <w:r>
        <w:t>, while Stage 8 provides the final calibration required for high-stakes agricultural diagnostics.</w:t>
      </w:r>
    </w:p>
    <w:sectPr w:rsidR="00A969E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52732981">
    <w:abstractNumId w:val="8"/>
  </w:num>
  <w:num w:numId="2" w16cid:durableId="1588421328">
    <w:abstractNumId w:val="6"/>
  </w:num>
  <w:num w:numId="3" w16cid:durableId="952445028">
    <w:abstractNumId w:val="5"/>
  </w:num>
  <w:num w:numId="4" w16cid:durableId="1847328944">
    <w:abstractNumId w:val="4"/>
  </w:num>
  <w:num w:numId="5" w16cid:durableId="1315182170">
    <w:abstractNumId w:val="7"/>
  </w:num>
  <w:num w:numId="6" w16cid:durableId="910968831">
    <w:abstractNumId w:val="3"/>
  </w:num>
  <w:num w:numId="7" w16cid:durableId="1808425102">
    <w:abstractNumId w:val="2"/>
  </w:num>
  <w:num w:numId="8" w16cid:durableId="2047170566">
    <w:abstractNumId w:val="1"/>
  </w:num>
  <w:num w:numId="9" w16cid:durableId="17101816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F02BF"/>
    <w:rsid w:val="00A969ED"/>
    <w:rsid w:val="00AA1D8D"/>
    <w:rsid w:val="00B47730"/>
    <w:rsid w:val="00C91D39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ECEB8CF"/>
  <w14:defaultImageDpi w14:val="300"/>
  <w15:docId w15:val="{3D2E4CB1-1FD2-4AD8-A5A7-EEA7B47D64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323</Words>
  <Characters>1844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2163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Aman Sah</cp:lastModifiedBy>
  <cp:revision>3</cp:revision>
  <dcterms:created xsi:type="dcterms:W3CDTF">2013-12-23T23:15:00Z</dcterms:created>
  <dcterms:modified xsi:type="dcterms:W3CDTF">2026-05-14T15:25:00Z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c79e628b-fbcd-4b67-9833-2ccae40127f2</vt:lpwstr>
  </property>
</Properties>
</file>