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2563EB"/>
          <w:sz w:val="44"/>
          <w:szCs w:val="44"/>
        </w:rPr>
        <w:t xml:space="preserve">MARKETING MIX MODEL</w:t>
      </w:r>
    </w:p>
    <w:p>
      <w:pPr>
        <w:spacing w:after="240"/>
        <w:jc w:val="center"/>
      </w:pPr>
      <w:r>
        <w:rPr>
          <w:color w:val="1F2A37"/>
          <w:sz w:val="32"/>
          <w:szCs w:val="32"/>
        </w:rPr>
        <w:t xml:space="preserve">Snapshot Report</w:t>
      </w:r>
    </w:p>
    <w:p>
      <w:pPr>
        <w:spacing w:after="40"/>
        <w:jc w:val="center"/>
      </w:pPr>
      <w:r>
        <w:rPr>
          <w:b/>
          <w:bCs/>
          <w:color w:val="1F2A37"/>
          <w:sz w:val="28"/>
          <w:szCs w:val="28"/>
        </w:rPr>
        <w:t xml:space="preserve">Aurora Skincare Co.</w:t>
      </w:r>
    </w:p>
    <w:p>
      <w:pPr>
        <w:spacing w:after="500"/>
        <w:jc w:val="center"/>
      </w:pPr>
      <w:r>
        <w:rPr>
          <w:color w:val="6B7280"/>
          <w:sz w:val="20"/>
          <w:szCs w:val="20"/>
        </w:rPr>
        <w:t xml:space="preserve">Analysis period: 2022-01-03 to 2024-12-23  (156 weeks)</w:t>
      </w:r>
    </w:p>
    <w:tbl>
      <w:tblPr>
        <w:tblW w:type="dxa" w:w="10040"/>
        <w:tblBorders>
          <w:top w:val="none"/>
          <w:left w:val="none"/>
          <w:bottom w:val="none"/>
          <w:right w:val="none"/>
          <w:insideH w:val="none"/>
          <w:insideV w:val="none"/>
        </w:tblBorders>
      </w:tblPr>
      <w:tblGrid>
        <w:gridCol w:w="3346"/>
        <w:gridCol w:w="3347"/>
        <w:gridCol w:w="3347"/>
      </w:tblGrid>
      <w:tr>
        <w:tc>
          <w:tcPr>
            <w:tcW w:type="dxa" w:w="3346"/>
            <w:shd w:fill="EFF6FF" w:val="clear"/>
            <w:tcMar>
              <w:top w:type="dxa" w:w="200"/>
              <w:left w:type="dxa" w:w="160"/>
              <w:bottom w:type="dxa" w:w="200"/>
              <w:right w:type="dxa" w:w="160"/>
            </w:tcMar>
          </w:tcPr>
          <w:p>
            <w:pPr>
              <w:spacing w:after="60"/>
              <w:jc w:val="center"/>
            </w:pPr>
            <w:r>
              <w:rPr>
                <w:b/>
                <w:bCs/>
                <w:color w:val="2563EB"/>
                <w:sz w:val="30"/>
                <w:szCs w:val="30"/>
              </w:rPr>
              <w:t xml:space="preserve">$96,242,846</w:t>
            </w:r>
          </w:p>
          <w:p>
            <w:pPr>
              <w:jc w:val="center"/>
            </w:pPr>
            <w:r>
              <w:rPr>
                <w:color w:val="6B7280"/>
                <w:sz w:val="18"/>
                <w:szCs w:val="18"/>
              </w:rPr>
              <w:t xml:space="preserve">Total Revenue Analyzed</w:t>
            </w:r>
          </w:p>
        </w:tc>
        <w:tc>
          <w:tcPr>
            <w:tcW w:type="dxa" w:w="3346"/>
            <w:shd w:fill="EFF6FF" w:val="clear"/>
            <w:tcMar>
              <w:top w:type="dxa" w:w="200"/>
              <w:left w:type="dxa" w:w="160"/>
              <w:bottom w:type="dxa" w:w="200"/>
              <w:right w:type="dxa" w:w="160"/>
            </w:tcMar>
          </w:tcPr>
          <w:p>
            <w:pPr>
              <w:spacing w:after="60"/>
              <w:jc w:val="center"/>
            </w:pPr>
            <w:r>
              <w:rPr>
                <w:b/>
                <w:bCs/>
                <w:color w:val="15803D"/>
                <w:sz w:val="30"/>
                <w:szCs w:val="30"/>
              </w:rPr>
              <w:t xml:space="preserve">36%</w:t>
            </w:r>
          </w:p>
          <w:p>
            <w:pPr>
              <w:jc w:val="center"/>
            </w:pPr>
            <w:r>
              <w:rPr>
                <w:color w:val="6B7280"/>
                <w:sz w:val="18"/>
                <w:szCs w:val="18"/>
              </w:rPr>
              <w:t xml:space="preserve">Paid Media Share</w:t>
            </w:r>
          </w:p>
        </w:tc>
        <w:tc>
          <w:tcPr>
            <w:tcW w:type="dxa" w:w="3346"/>
            <w:shd w:fill="EFF6FF" w:val="clear"/>
            <w:tcMar>
              <w:top w:type="dxa" w:w="200"/>
              <w:left w:type="dxa" w:w="160"/>
              <w:bottom w:type="dxa" w:w="200"/>
              <w:right w:type="dxa" w:w="160"/>
            </w:tcMar>
          </w:tcPr>
          <w:p>
            <w:pPr>
              <w:spacing w:after="60"/>
              <w:jc w:val="center"/>
            </w:pPr>
            <w:r>
              <w:rPr>
                <w:b/>
                <w:bCs/>
                <w:color w:val="B45309"/>
                <w:sz w:val="30"/>
                <w:szCs w:val="30"/>
              </w:rPr>
              <w:t xml:space="preserve">64%</w:t>
            </w:r>
          </w:p>
          <w:p>
            <w:pPr>
              <w:jc w:val="center"/>
            </w:pPr>
            <w:r>
              <w:rPr>
                <w:color w:val="6B7280"/>
                <w:sz w:val="18"/>
                <w:szCs w:val="18"/>
              </w:rPr>
              <w:t xml:space="preserve">Organic / Baseline Share</w:t>
            </w:r>
          </w:p>
        </w:tc>
      </w:tr>
    </w:tbl>
    <w:p>
      <w:pPr>
        <w:spacing w:after="200"/>
      </w:pPr>
    </w:p>
    <w:p>
      <w:pPr>
        <w:pStyle w:val="Heading1"/>
        <w:spacing w:after="160" w:before="320"/>
      </w:pPr>
      <w:r>
        <w:rPr>
          <w:b/>
          <w:bCs/>
          <w:color w:val="1F2A37"/>
        </w:rPr>
        <w:t xml:space="preserve">Executive Summary</w:t>
      </w:r>
    </w:p>
    <w:p>
      <w:pPr>
        <w:spacing w:after="160"/>
      </w:pPr>
      <w:r>
        <w:rPr>
          <w:color w:val="1F2A37"/>
          <w:sz w:val="22"/>
          <w:szCs w:val="22"/>
        </w:rPr>
        <w:t xml:space="preserve">This report identifies which marketing channels are actually driving Aurora Skincare Co.'s revenue, where each channel sits on its response curve, and where the next marketing dollar is best spent.</w:t>
      </w:r>
    </w:p>
    <w:p>
      <w:pPr>
        <w:pStyle w:val="ListParagraph"/>
        <w:numPr>
          <w:ilvl w:val="0"/>
          <w:numId w:val="2"/>
        </w:numPr>
        <w:spacing w:after="120"/>
      </w:pPr>
      <w:r>
        <w:rPr>
          <w:color w:val="1F2A37"/>
          <w:sz w:val="22"/>
          <w:szCs w:val="22"/>
        </w:rPr>
        <w:t xml:space="preserve">Over the 156-week period analyzed, paid media (Meta + Google + TikTok combined) is estimated to drive 36% of total revenue; the remaining 64% comes from organic/baseline demand (brand equity, returning customers, seasonality).</w:t>
      </w:r>
    </w:p>
    <w:p>
      <w:pPr>
        <w:pStyle w:val="ListParagraph"/>
        <w:numPr>
          <w:ilvl w:val="0"/>
          <w:numId w:val="2"/>
        </w:numPr>
        <w:spacing w:after="120"/>
      </w:pPr>
      <w:r>
        <w:rPr>
          <w:color w:val="1F2A37"/>
          <w:sz w:val="22"/>
          <w:szCs w:val="22"/>
        </w:rPr>
        <w:t xml:space="preserve">TikTok is the least saturated channel at 64% of its estimated saturation point — this is the highest-confidence place to test incremental budget.</w:t>
      </w:r>
    </w:p>
    <w:p>
      <w:pPr>
        <w:pStyle w:val="ListParagraph"/>
        <w:numPr>
          <w:ilvl w:val="0"/>
          <w:numId w:val="2"/>
        </w:numPr>
        <w:spacing w:after="120"/>
      </w:pPr>
      <w:r>
        <w:rPr>
          <w:color w:val="1F2A37"/>
          <w:sz w:val="22"/>
          <w:szCs w:val="22"/>
        </w:rPr>
        <w:t xml:space="preserve">Meta is the most saturated channel at 100% of its estimated saturation point — further increases here are likely to yield sharply diminishing returns.</w:t>
      </w:r>
    </w:p>
    <w:p>
      <w:pPr>
        <w:pStyle w:val="ListParagraph"/>
        <w:numPr>
          <w:ilvl w:val="0"/>
          <w:numId w:val="2"/>
        </w:numPr>
        <w:spacing w:after="120"/>
      </w:pPr>
      <w:r>
        <w:rPr>
          <w:color w:val="1F2A37"/>
          <w:sz w:val="22"/>
          <w:szCs w:val="22"/>
        </w:rPr>
        <w:t xml:space="preserve">Competitor activity is estimated to have suppressed revenue by an average of $20,755/week during the 74 weeks of above-average competitor pressure (worst single week: ~$99,134 lost).</w:t>
      </w:r>
    </w:p>
    <w:p>
      <w:pPr>
        <w:pStyle w:val="Heading1"/>
        <w:spacing w:after="160" w:before="320"/>
      </w:pPr>
      <w:r>
        <w:rPr>
          <w:b/>
          <w:bCs/>
          <w:color w:val="1F2A37"/>
        </w:rPr>
        <w:t xml:space="preserve">How Well Does the Model Fit?</w:t>
      </w:r>
    </w:p>
    <w:p>
      <w:pPr>
        <w:spacing w:after="160"/>
      </w:pPr>
      <w:r>
        <w:rPr>
          <w:color w:val="1F2A37"/>
          <w:sz w:val="22"/>
          <w:szCs w:val="22"/>
        </w:rPr>
        <w:t xml:space="preserve">Before trusting any recommendation, we first confirm the model's predicted revenue tracks actual revenue closely, week over week. The shaded band reflects the model's own uncertainty — a Bayesian model reports a credible range rather than a single guess.</w:t>
      </w:r>
    </w:p>
    <w:p>
      <w:pPr>
        <w:spacing w:after="20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47875"/>
                    </a:xfrm>
                    <a:prstGeom prst="rect">
                      <a:avLst/>
                    </a:prstGeom>
                  </pic:spPr>
                </pic:pic>
              </a:graphicData>
            </a:graphic>
          </wp:inline>
        </w:drawing>
      </w:r>
    </w:p>
    <w:p>
      <w:pPr>
        <w:pStyle w:val="Heading1"/>
        <w:spacing w:after="160" w:before="320"/>
      </w:pPr>
      <w:r>
        <w:rPr>
          <w:b/>
          <w:bCs/>
          <w:color w:val="1F2A37"/>
        </w:rPr>
        <w:t xml:space="preserve">Where Does Revenue Actually Come From?</w:t>
      </w:r>
    </w:p>
    <w:p>
      <w:pPr>
        <w:spacing w:after="160"/>
      </w:pPr>
      <w:r>
        <w:rPr>
          <w:color w:val="1F2A37"/>
          <w:sz w:val="22"/>
          <w:szCs w:val="22"/>
        </w:rPr>
        <w:t xml:space="preserve">The chart below decomposes weekly revenue into what each paid channel is estimated to contribute versus the organic baseline (dashed line) — demand that would exist even with zero ad spend.</w:t>
      </w:r>
    </w:p>
    <w:p>
      <w:pPr>
        <w:spacing w:after="20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57450"/>
                    </a:xfrm>
                    <a:prstGeom prst="rect">
                      <a:avLst/>
                    </a:prstGeom>
                  </pic:spPr>
                </pic:pic>
              </a:graphicData>
            </a:graphic>
          </wp:inline>
        </w:drawing>
      </w:r>
    </w:p>
    <w:p>
      <w:pPr>
        <w:pStyle w:val="Heading1"/>
        <w:spacing w:after="160" w:before="320"/>
      </w:pPr>
      <w:r>
        <w:rPr>
          <w:b/>
          <w:bCs/>
          <w:color w:val="1F2A37"/>
        </w:rPr>
        <w:t xml:space="preserve">Channel-by-Channel Breakdown</w:t>
      </w:r>
    </w:p>
    <w:p>
      <w:pPr>
        <w:spacing w:after="160"/>
      </w:pPr>
      <w:r>
        <w:rPr>
          <w:color w:val="1F2A37"/>
          <w:sz w:val="22"/>
          <w:szCs w:val="22"/>
        </w:rPr>
        <w:t xml:space="preserve">"Saturation" shows how close each channel is to the point where additional spend stops paying off (defined here as 80% of the channel's estimated maximum response).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00"/>
        <w:gridCol w:w="1850"/>
        <w:gridCol w:w="1850"/>
        <w:gridCol w:w="1450"/>
        <w:gridCol w:w="1550"/>
        <w:gridCol w:w="1740"/>
      </w:tblGrid>
      <w:tr>
        <w:trPr>
          <w:tblHeader/>
        </w:trPr>
        <w:tc>
          <w:tcPr>
            <w:tcW w:type="dxa" w:w="1600"/>
            <w:shd w:fill="1F2A37" w:val="clear"/>
            <w:tcMar>
              <w:top w:type="dxa" w:w="100"/>
              <w:left w:type="dxa" w:w="120"/>
              <w:bottom w:type="dxa" w:w="100"/>
              <w:right w:type="dxa" w:w="120"/>
            </w:tcMar>
          </w:tcPr>
          <w:p>
            <w:pPr>
              <w:jc w:val="left"/>
            </w:pPr>
            <w:r>
              <w:rPr>
                <w:b/>
                <w:bCs/>
                <w:color w:val="FFFFFF"/>
                <w:sz w:val="20"/>
                <w:szCs w:val="20"/>
              </w:rPr>
              <w:t xml:space="preserve">Channel</w:t>
            </w:r>
          </w:p>
        </w:tc>
        <w:tc>
          <w:tcPr>
            <w:tcW w:type="dxa" w:w="1850"/>
            <w:shd w:fill="1F2A37" w:val="clear"/>
            <w:tcMar>
              <w:top w:type="dxa" w:w="100"/>
              <w:left w:type="dxa" w:w="120"/>
              <w:bottom w:type="dxa" w:w="100"/>
              <w:right w:type="dxa" w:w="120"/>
            </w:tcMar>
          </w:tcPr>
          <w:p>
            <w:pPr>
              <w:jc w:val="right"/>
            </w:pPr>
            <w:r>
              <w:rPr>
                <w:b/>
                <w:bCs/>
                <w:color w:val="FFFFFF"/>
                <w:sz w:val="20"/>
                <w:szCs w:val="20"/>
              </w:rPr>
              <w:t xml:space="preserve">Avg Weekly Spend</w:t>
            </w:r>
          </w:p>
        </w:tc>
        <w:tc>
          <w:tcPr>
            <w:tcW w:type="dxa" w:w="1850"/>
            <w:shd w:fill="1F2A37" w:val="clear"/>
            <w:tcMar>
              <w:top w:type="dxa" w:w="100"/>
              <w:left w:type="dxa" w:w="120"/>
              <w:bottom w:type="dxa" w:w="100"/>
              <w:right w:type="dxa" w:w="120"/>
            </w:tcMar>
          </w:tcPr>
          <w:p>
            <w:pPr>
              <w:jc w:val="right"/>
            </w:pPr>
            <w:r>
              <w:rPr>
                <w:b/>
                <w:bCs/>
                <w:color w:val="FFFFFF"/>
                <w:sz w:val="20"/>
                <w:szCs w:val="20"/>
              </w:rPr>
              <w:t xml:space="preserve">Est. Weekly Revenue</w:t>
            </w:r>
          </w:p>
        </w:tc>
        <w:tc>
          <w:tcPr>
            <w:tcW w:type="dxa" w:w="1450"/>
            <w:shd w:fill="1F2A37" w:val="clear"/>
            <w:tcMar>
              <w:top w:type="dxa" w:w="100"/>
              <w:left w:type="dxa" w:w="120"/>
              <w:bottom w:type="dxa" w:w="100"/>
              <w:right w:type="dxa" w:w="120"/>
            </w:tcMar>
          </w:tcPr>
          <w:p>
            <w:pPr>
              <w:jc w:val="right"/>
            </w:pPr>
            <w:r>
              <w:rPr>
                <w:b/>
                <w:bCs/>
                <w:color w:val="FFFFFF"/>
                <w:sz w:val="20"/>
                <w:szCs w:val="20"/>
              </w:rPr>
              <w:t xml:space="preserve">% of Revenue</w:t>
            </w:r>
          </w:p>
        </w:tc>
        <w:tc>
          <w:tcPr>
            <w:tcW w:type="dxa" w:w="1550"/>
            <w:shd w:fill="1F2A37" w:val="clear"/>
            <w:tcMar>
              <w:top w:type="dxa" w:w="100"/>
              <w:left w:type="dxa" w:w="120"/>
              <w:bottom w:type="dxa" w:w="100"/>
              <w:right w:type="dxa" w:w="120"/>
            </w:tcMar>
          </w:tcPr>
          <w:p>
            <w:pPr>
              <w:jc w:val="right"/>
            </w:pPr>
            <w:r>
              <w:rPr>
                <w:b/>
                <w:bCs/>
                <w:color w:val="FFFFFF"/>
                <w:sz w:val="20"/>
                <w:szCs w:val="20"/>
              </w:rPr>
              <w:t xml:space="preserve">Saturation</w:t>
            </w:r>
          </w:p>
        </w:tc>
        <w:tc>
          <w:tcPr>
            <w:tcW w:type="dxa" w:w="1740"/>
            <w:shd w:fill="1F2A37" w:val="clear"/>
            <w:tcMar>
              <w:top w:type="dxa" w:w="100"/>
              <w:left w:type="dxa" w:w="120"/>
              <w:bottom w:type="dxa" w:w="100"/>
              <w:right w:type="dxa" w:w="120"/>
            </w:tcMar>
          </w:tcPr>
          <w:p>
            <w:pPr>
              <w:jc w:val="left"/>
            </w:pPr>
            <w:r>
              <w:rPr>
                <w:b/>
                <w:bCs/>
                <w:color w:val="FFFFFF"/>
                <w:sz w:val="20"/>
                <w:szCs w:val="20"/>
              </w:rPr>
              <w:t xml:space="preserve">Recommendation</w:t>
            </w:r>
          </w:p>
        </w:tc>
      </w:tr>
      <w:tr>
        <w:tc>
          <w:tcPr>
            <w:tcW w:type="dxa" w:w="1600"/>
            <w:shd w:fill="FFFFFF" w:val="clear"/>
            <w:tcMar>
              <w:top w:type="dxa" w:w="100"/>
              <w:left w:type="dxa" w:w="120"/>
              <w:bottom w:type="dxa" w:w="100"/>
              <w:right w:type="dxa" w:w="120"/>
            </w:tcMar>
          </w:tcPr>
          <w:p>
            <w:pPr>
              <w:jc w:val="left"/>
            </w:pPr>
            <w:r>
              <w:rPr>
                <w:b/>
                <w:bCs/>
                <w:color w:val="1F2A37"/>
                <w:sz w:val="20"/>
                <w:szCs w:val="20"/>
              </w:rPr>
              <w:t xml:space="preserve">Meta</w:t>
            </w:r>
          </w:p>
        </w:tc>
        <w:tc>
          <w:tcPr>
            <w:tcW w:type="dxa" w:w="1850"/>
            <w:shd w:fill="FFFFFF" w:val="clear"/>
            <w:tcMar>
              <w:top w:type="dxa" w:w="100"/>
              <w:left w:type="dxa" w:w="120"/>
              <w:bottom w:type="dxa" w:w="100"/>
              <w:right w:type="dxa" w:w="120"/>
            </w:tcMar>
          </w:tcPr>
          <w:p>
            <w:pPr>
              <w:jc w:val="right"/>
            </w:pPr>
            <w:r>
              <w:rPr>
                <w:b w:val="false"/>
                <w:bCs w:val="false"/>
                <w:color w:val="1F2A37"/>
                <w:sz w:val="20"/>
                <w:szCs w:val="20"/>
              </w:rPr>
              <w:t xml:space="preserve">$36,512</w:t>
            </w:r>
          </w:p>
        </w:tc>
        <w:tc>
          <w:tcPr>
            <w:tcW w:type="dxa" w:w="1850"/>
            <w:shd w:fill="FFFFFF" w:val="clear"/>
            <w:tcMar>
              <w:top w:type="dxa" w:w="100"/>
              <w:left w:type="dxa" w:w="120"/>
              <w:bottom w:type="dxa" w:w="100"/>
              <w:right w:type="dxa" w:w="120"/>
            </w:tcMar>
          </w:tcPr>
          <w:p>
            <w:pPr>
              <w:jc w:val="right"/>
            </w:pPr>
            <w:r>
              <w:rPr>
                <w:b w:val="false"/>
                <w:bCs w:val="false"/>
                <w:color w:val="1F2A37"/>
                <w:sz w:val="20"/>
                <w:szCs w:val="20"/>
              </w:rPr>
              <w:t xml:space="preserve">$115,314</w:t>
            </w:r>
          </w:p>
        </w:tc>
        <w:tc>
          <w:tcPr>
            <w:tcW w:type="dxa" w:w="1450"/>
            <w:shd w:fill="FFFFFF" w:val="clear"/>
            <w:tcMar>
              <w:top w:type="dxa" w:w="100"/>
              <w:left w:type="dxa" w:w="120"/>
              <w:bottom w:type="dxa" w:w="100"/>
              <w:right w:type="dxa" w:w="120"/>
            </w:tcMar>
          </w:tcPr>
          <w:p>
            <w:pPr>
              <w:jc w:val="right"/>
            </w:pPr>
            <w:r>
              <w:rPr>
                <w:b w:val="false"/>
                <w:bCs w:val="false"/>
                <w:color w:val="1F2A37"/>
                <w:sz w:val="20"/>
                <w:szCs w:val="20"/>
              </w:rPr>
              <w:t xml:space="preserve">19%</w:t>
            </w:r>
          </w:p>
        </w:tc>
        <w:tc>
          <w:tcPr>
            <w:tcW w:type="dxa" w:w="1550"/>
            <w:shd w:fill="FFFFFF" w:val="clear"/>
            <w:tcMar>
              <w:top w:type="dxa" w:w="100"/>
              <w:left w:type="dxa" w:w="120"/>
              <w:bottom w:type="dxa" w:w="100"/>
              <w:right w:type="dxa" w:w="120"/>
            </w:tcMar>
          </w:tcPr>
          <w:p>
            <w:pPr>
              <w:jc w:val="right"/>
            </w:pPr>
            <w:r>
              <w:rPr>
                <w:b w:val="false"/>
                <w:bCs w:val="false"/>
                <w:color w:val="1F2A37"/>
                <w:sz w:val="20"/>
                <w:szCs w:val="20"/>
              </w:rPr>
              <w:t xml:space="preserve">100%</w:t>
            </w:r>
          </w:p>
        </w:tc>
        <w:tc>
          <w:tcPr>
            <w:tcW w:type="dxa" w:w="1740"/>
            <w:shd w:fill="FFFFFF" w:val="clear"/>
            <w:tcMar>
              <w:top w:type="dxa" w:w="100"/>
              <w:left w:type="dxa" w:w="120"/>
              <w:bottom w:type="dxa" w:w="100"/>
              <w:right w:type="dxa" w:w="120"/>
            </w:tcMar>
          </w:tcPr>
          <w:p>
            <w:pPr>
              <w:jc w:val="left"/>
            </w:pPr>
            <w:r>
              <w:rPr>
                <w:b/>
                <w:bCs/>
                <w:color w:val="B91C1C"/>
                <w:sz w:val="20"/>
                <w:szCs w:val="20"/>
              </w:rPr>
              <w:t xml:space="preserve">Hold / Trim</w:t>
            </w:r>
          </w:p>
        </w:tc>
      </w:tr>
      <w:tr>
        <w:tc>
          <w:tcPr>
            <w:tcW w:type="dxa" w:w="1600"/>
            <w:shd w:fill="F9FAFB" w:val="clear"/>
            <w:tcMar>
              <w:top w:type="dxa" w:w="100"/>
              <w:left w:type="dxa" w:w="120"/>
              <w:bottom w:type="dxa" w:w="100"/>
              <w:right w:type="dxa" w:w="120"/>
            </w:tcMar>
          </w:tcPr>
          <w:p>
            <w:pPr>
              <w:jc w:val="left"/>
            </w:pPr>
            <w:r>
              <w:rPr>
                <w:b/>
                <w:bCs/>
                <w:color w:val="1F2A37"/>
                <w:sz w:val="20"/>
                <w:szCs w:val="20"/>
              </w:rPr>
              <w:t xml:space="preserve">Google</w:t>
            </w:r>
          </w:p>
        </w:tc>
        <w:tc>
          <w:tcPr>
            <w:tcW w:type="dxa" w:w="1850"/>
            <w:shd w:fill="F9FAFB" w:val="clear"/>
            <w:tcMar>
              <w:top w:type="dxa" w:w="100"/>
              <w:left w:type="dxa" w:w="120"/>
              <w:bottom w:type="dxa" w:w="100"/>
              <w:right w:type="dxa" w:w="120"/>
            </w:tcMar>
          </w:tcPr>
          <w:p>
            <w:pPr>
              <w:jc w:val="right"/>
            </w:pPr>
            <w:r>
              <w:rPr>
                <w:b w:val="false"/>
                <w:bCs w:val="false"/>
                <w:color w:val="1F2A37"/>
                <w:sz w:val="20"/>
                <w:szCs w:val="20"/>
              </w:rPr>
              <w:t xml:space="preserve">$25,939</w:t>
            </w:r>
          </w:p>
        </w:tc>
        <w:tc>
          <w:tcPr>
            <w:tcW w:type="dxa" w:w="1850"/>
            <w:shd w:fill="F9FAFB" w:val="clear"/>
            <w:tcMar>
              <w:top w:type="dxa" w:w="100"/>
              <w:left w:type="dxa" w:w="120"/>
              <w:bottom w:type="dxa" w:w="100"/>
              <w:right w:type="dxa" w:w="120"/>
            </w:tcMar>
          </w:tcPr>
          <w:p>
            <w:pPr>
              <w:jc w:val="right"/>
            </w:pPr>
            <w:r>
              <w:rPr>
                <w:b w:val="false"/>
                <w:bCs w:val="false"/>
                <w:color w:val="1F2A37"/>
                <w:sz w:val="20"/>
                <w:szCs w:val="20"/>
              </w:rPr>
              <w:t xml:space="preserve">$72,098</w:t>
            </w:r>
          </w:p>
        </w:tc>
        <w:tc>
          <w:tcPr>
            <w:tcW w:type="dxa" w:w="1450"/>
            <w:shd w:fill="F9FAFB" w:val="clear"/>
            <w:tcMar>
              <w:top w:type="dxa" w:w="100"/>
              <w:left w:type="dxa" w:w="120"/>
              <w:bottom w:type="dxa" w:w="100"/>
              <w:right w:type="dxa" w:w="120"/>
            </w:tcMar>
          </w:tcPr>
          <w:p>
            <w:pPr>
              <w:jc w:val="right"/>
            </w:pPr>
            <w:r>
              <w:rPr>
                <w:b w:val="false"/>
                <w:bCs w:val="false"/>
                <w:color w:val="1F2A37"/>
                <w:sz w:val="20"/>
                <w:szCs w:val="20"/>
              </w:rPr>
              <w:t xml:space="preserve">12%</w:t>
            </w:r>
          </w:p>
        </w:tc>
        <w:tc>
          <w:tcPr>
            <w:tcW w:type="dxa" w:w="1550"/>
            <w:shd w:fill="F9FAFB" w:val="clear"/>
            <w:tcMar>
              <w:top w:type="dxa" w:w="100"/>
              <w:left w:type="dxa" w:w="120"/>
              <w:bottom w:type="dxa" w:w="100"/>
              <w:right w:type="dxa" w:w="120"/>
            </w:tcMar>
          </w:tcPr>
          <w:p>
            <w:pPr>
              <w:jc w:val="right"/>
            </w:pPr>
            <w:r>
              <w:rPr>
                <w:b w:val="false"/>
                <w:bCs w:val="false"/>
                <w:color w:val="1F2A37"/>
                <w:sz w:val="20"/>
                <w:szCs w:val="20"/>
              </w:rPr>
              <w:t xml:space="preserve">65%</w:t>
            </w:r>
          </w:p>
        </w:tc>
        <w:tc>
          <w:tcPr>
            <w:tcW w:type="dxa" w:w="1740"/>
            <w:shd w:fill="F9FAFB" w:val="clear"/>
            <w:tcMar>
              <w:top w:type="dxa" w:w="100"/>
              <w:left w:type="dxa" w:w="120"/>
              <w:bottom w:type="dxa" w:w="100"/>
              <w:right w:type="dxa" w:w="120"/>
            </w:tcMar>
          </w:tcPr>
          <w:p>
            <w:pPr>
              <w:jc w:val="left"/>
            </w:pPr>
            <w:r>
              <w:rPr>
                <w:b/>
                <w:bCs/>
                <w:color w:val="B45309"/>
                <w:sz w:val="20"/>
                <w:szCs w:val="20"/>
              </w:rPr>
              <w:t xml:space="preserve">Maintain</w:t>
            </w:r>
          </w:p>
        </w:tc>
      </w:tr>
      <w:tr>
        <w:tc>
          <w:tcPr>
            <w:tcW w:type="dxa" w:w="1600"/>
            <w:shd w:fill="FFFFFF" w:val="clear"/>
            <w:tcMar>
              <w:top w:type="dxa" w:w="100"/>
              <w:left w:type="dxa" w:w="120"/>
              <w:bottom w:type="dxa" w:w="100"/>
              <w:right w:type="dxa" w:w="120"/>
            </w:tcMar>
          </w:tcPr>
          <w:p>
            <w:pPr>
              <w:jc w:val="left"/>
            </w:pPr>
            <w:r>
              <w:rPr>
                <w:b/>
                <w:bCs/>
                <w:color w:val="1F2A37"/>
                <w:sz w:val="20"/>
                <w:szCs w:val="20"/>
              </w:rPr>
              <w:t xml:space="preserve">TikTok</w:t>
            </w:r>
          </w:p>
        </w:tc>
        <w:tc>
          <w:tcPr>
            <w:tcW w:type="dxa" w:w="1850"/>
            <w:shd w:fill="FFFFFF" w:val="clear"/>
            <w:tcMar>
              <w:top w:type="dxa" w:w="100"/>
              <w:left w:type="dxa" w:w="120"/>
              <w:bottom w:type="dxa" w:w="100"/>
              <w:right w:type="dxa" w:w="120"/>
            </w:tcMar>
          </w:tcPr>
          <w:p>
            <w:pPr>
              <w:jc w:val="right"/>
            </w:pPr>
            <w:r>
              <w:rPr>
                <w:b w:val="false"/>
                <w:bCs w:val="false"/>
                <w:color w:val="1F2A37"/>
                <w:sz w:val="20"/>
                <w:szCs w:val="20"/>
              </w:rPr>
              <w:t xml:space="preserve">$19,376</w:t>
            </w:r>
          </w:p>
        </w:tc>
        <w:tc>
          <w:tcPr>
            <w:tcW w:type="dxa" w:w="1850"/>
            <w:shd w:fill="FFFFFF" w:val="clear"/>
            <w:tcMar>
              <w:top w:type="dxa" w:w="100"/>
              <w:left w:type="dxa" w:w="120"/>
              <w:bottom w:type="dxa" w:w="100"/>
              <w:right w:type="dxa" w:w="120"/>
            </w:tcMar>
          </w:tcPr>
          <w:p>
            <w:pPr>
              <w:jc w:val="right"/>
            </w:pPr>
            <w:r>
              <w:rPr>
                <w:b w:val="false"/>
                <w:bCs w:val="false"/>
                <w:color w:val="1F2A37"/>
                <w:sz w:val="20"/>
                <w:szCs w:val="20"/>
              </w:rPr>
              <w:t xml:space="preserve">$34,616</w:t>
            </w:r>
          </w:p>
        </w:tc>
        <w:tc>
          <w:tcPr>
            <w:tcW w:type="dxa" w:w="1450"/>
            <w:shd w:fill="FFFFFF" w:val="clear"/>
            <w:tcMar>
              <w:top w:type="dxa" w:w="100"/>
              <w:left w:type="dxa" w:w="120"/>
              <w:bottom w:type="dxa" w:w="100"/>
              <w:right w:type="dxa" w:w="120"/>
            </w:tcMar>
          </w:tcPr>
          <w:p>
            <w:pPr>
              <w:jc w:val="right"/>
            </w:pPr>
            <w:r>
              <w:rPr>
                <w:b w:val="false"/>
                <w:bCs w:val="false"/>
                <w:color w:val="1F2A37"/>
                <w:sz w:val="20"/>
                <w:szCs w:val="20"/>
              </w:rPr>
              <w:t xml:space="preserve">6%</w:t>
            </w:r>
          </w:p>
        </w:tc>
        <w:tc>
          <w:tcPr>
            <w:tcW w:type="dxa" w:w="1550"/>
            <w:shd w:fill="FFFFFF" w:val="clear"/>
            <w:tcMar>
              <w:top w:type="dxa" w:w="100"/>
              <w:left w:type="dxa" w:w="120"/>
              <w:bottom w:type="dxa" w:w="100"/>
              <w:right w:type="dxa" w:w="120"/>
            </w:tcMar>
          </w:tcPr>
          <w:p>
            <w:pPr>
              <w:jc w:val="right"/>
            </w:pPr>
            <w:r>
              <w:rPr>
                <w:b w:val="false"/>
                <w:bCs w:val="false"/>
                <w:color w:val="1F2A37"/>
                <w:sz w:val="20"/>
                <w:szCs w:val="20"/>
              </w:rPr>
              <w:t xml:space="preserve">64%</w:t>
            </w:r>
          </w:p>
        </w:tc>
        <w:tc>
          <w:tcPr>
            <w:tcW w:type="dxa" w:w="1740"/>
            <w:shd w:fill="FFFFFF" w:val="clear"/>
            <w:tcMar>
              <w:top w:type="dxa" w:w="100"/>
              <w:left w:type="dxa" w:w="120"/>
              <w:bottom w:type="dxa" w:w="100"/>
              <w:right w:type="dxa" w:w="120"/>
            </w:tcMar>
          </w:tcPr>
          <w:p>
            <w:pPr>
              <w:jc w:val="left"/>
            </w:pPr>
            <w:r>
              <w:rPr>
                <w:b/>
                <w:bCs/>
                <w:color w:val="B45309"/>
                <w:sz w:val="20"/>
                <w:szCs w:val="20"/>
              </w:rPr>
              <w:t xml:space="preserve">Maintain</w:t>
            </w:r>
          </w:p>
        </w:tc>
      </w:tr>
    </w:tbl>
    <w:p>
      <w:pPr>
        <w:spacing w:before="200"/>
      </w:pPr>
    </w:p>
    <w:p>
      <w:pPr>
        <w:pStyle w:val="Heading1"/>
        <w:spacing w:after="160" w:before="320"/>
      </w:pPr>
      <w:r>
        <w:rPr>
          <w:b/>
          <w:bCs/>
          <w:color w:val="1F2A37"/>
        </w:rPr>
        <w:t xml:space="preserve">Saturation Curves — Where Is the Ceiling?</w:t>
      </w:r>
    </w:p>
    <w:p>
      <w:pPr>
        <w:spacing w:after="160"/>
      </w:pPr>
      <w:r>
        <w:rPr>
          <w:color w:val="1F2A37"/>
          <w:sz w:val="22"/>
          <w:szCs w:val="22"/>
        </w:rPr>
        <w:t xml:space="preserve">Each curve shows estimated incremental revenue as spend increases. The red marker is the estimated saturation point for that channel. Spend to the right of the marker still helps, but each additional dollar returns much less than the dollars before it.</w:t>
      </w:r>
    </w:p>
    <w:p>
      <w:pPr>
        <w:spacing w:after="200"/>
        <w:jc w:val="center"/>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66875"/>
                    </a:xfrm>
                    <a:prstGeom prst="rect">
                      <a:avLst/>
                    </a:prstGeom>
                  </pic:spPr>
                </pic:pic>
              </a:graphicData>
            </a:graphic>
          </wp:inline>
        </w:drawing>
      </w:r>
    </w:p>
    <w:p>
      <w:pPr>
        <w:pStyle w:val="Heading1"/>
        <w:spacing w:after="160" w:before="320"/>
      </w:pPr>
      <w:r>
        <w:rPr>
          <w:b/>
          <w:bCs/>
          <w:color w:val="1F2A37"/>
        </w:rPr>
        <w:t xml:space="preserve">Recommended Actions</w:t>
      </w:r>
    </w:p>
    <w:p>
      <w:pPr>
        <w:spacing w:after="60" w:before="120"/>
      </w:pPr>
      <w:r>
        <w:rPr>
          <w:b/>
          <w:bCs/>
          <w:color w:val="1F2A37"/>
          <w:sz w:val="22"/>
          <w:szCs w:val="22"/>
        </w:rPr>
        <w:t xml:space="preserve">Meta — </w:t>
      </w:r>
      <w:r>
        <w:rPr>
          <w:b/>
          <w:bCs/>
          <w:color w:val="B91C1C"/>
          <w:sz w:val="22"/>
          <w:szCs w:val="22"/>
        </w:rPr>
        <w:t xml:space="preserve">Hold / Trim</w:t>
      </w:r>
    </w:p>
    <w:p>
      <w:pPr>
        <w:spacing w:after="160"/>
      </w:pPr>
      <w:r>
        <w:rPr>
          <w:color w:val="1F2A37"/>
          <w:sz w:val="22"/>
          <w:szCs w:val="22"/>
        </w:rPr>
        <w:t xml:space="preserve">At/near saturation — additional spend here will show sharply diminishing returns. Consider holding or trimming budget.</w:t>
      </w:r>
    </w:p>
    <w:p>
      <w:pPr>
        <w:spacing w:after="60" w:before="120"/>
      </w:pPr>
      <w:r>
        <w:rPr>
          <w:b/>
          <w:bCs/>
          <w:color w:val="1F2A37"/>
          <w:sz w:val="22"/>
          <w:szCs w:val="22"/>
        </w:rPr>
        <w:t xml:space="preserve">Google — </w:t>
      </w:r>
      <w:r>
        <w:rPr>
          <w:b/>
          <w:bCs/>
          <w:color w:val="B45309"/>
          <w:sz w:val="22"/>
          <w:szCs w:val="22"/>
        </w:rPr>
        <w:t xml:space="preserve">Maintain</w:t>
      </w:r>
    </w:p>
    <w:p>
      <w:pPr>
        <w:spacing w:after="160"/>
      </w:pPr>
      <w:r>
        <w:rPr>
          <w:color w:val="1F2A37"/>
          <w:sz w:val="22"/>
          <w:szCs w:val="22"/>
        </w:rPr>
        <w:t xml:space="preserve">Healthy efficiency zone — spend is being used well; moderate room left to grow before diminishing returns kick in.</w:t>
      </w:r>
    </w:p>
    <w:p>
      <w:pPr>
        <w:spacing w:after="60" w:before="120"/>
      </w:pPr>
      <w:r>
        <w:rPr>
          <w:b/>
          <w:bCs/>
          <w:color w:val="1F2A37"/>
          <w:sz w:val="22"/>
          <w:szCs w:val="22"/>
        </w:rPr>
        <w:t xml:space="preserve">TikTok — </w:t>
      </w:r>
      <w:r>
        <w:rPr>
          <w:b/>
          <w:bCs/>
          <w:color w:val="B45309"/>
          <w:sz w:val="22"/>
          <w:szCs w:val="22"/>
        </w:rPr>
        <w:t xml:space="preserve">Maintain</w:t>
      </w:r>
    </w:p>
    <w:p>
      <w:pPr>
        <w:spacing w:after="160"/>
      </w:pPr>
      <w:r>
        <w:rPr>
          <w:color w:val="1F2A37"/>
          <w:sz w:val="22"/>
          <w:szCs w:val="22"/>
        </w:rPr>
        <w:t xml:space="preserve">Healthy efficiency zone — spend is being used well; moderate room left to grow before diminishing returns kick in.</w:t>
      </w:r>
    </w:p>
    <w:p>
      <w:pPr>
        <w:pStyle w:val="Heading1"/>
        <w:spacing w:after="160" w:before="320"/>
      </w:pPr>
      <w:r>
        <w:rPr>
          <w:b/>
          <w:bCs/>
          <w:color w:val="1F2A37"/>
        </w:rPr>
        <w:t xml:space="preserve">Methodology &amp; Limitations</w:t>
      </w:r>
    </w:p>
    <w:p>
      <w:pPr>
        <w:spacing w:after="160"/>
      </w:pPr>
      <w:r>
        <w:rPr>
          <w:color w:val="1F2A37"/>
          <w:sz w:val="22"/>
          <w:szCs w:val="22"/>
        </w:rPr>
        <w:t xml:space="preserve">This report uses a Bayesian Marketing Mix Model (MMM). Each channel's spend is transformed through (1) an adstock function, capturing how an ad's effect carries over into future weeks, and (2) a saturation (diminishing-returns) curve, capturing how effectiveness declines as spend increases. A baseline term captures organic growth, seasonality, and a competitor pressure index.</w:t>
      </w:r>
    </w:p>
    <w:p>
      <w:pPr>
        <w:spacing w:after="160"/>
      </w:pPr>
      <w:r>
        <w:rPr>
          <w:color w:val="1F2A37"/>
          <w:sz w:val="22"/>
          <w:szCs w:val="22"/>
        </w:rPr>
        <w:t xml:space="preserve">Figures reflect posterior means from the fitted model and should be read as estimates with uncertainty, not precise facts. Recommendations are directional guidance for budget conversations, not a substitute for controlled experiments (e.g., geo holdouts or incrementality tests). We recommend refreshing this model quarterly, or after any major shift in channel mix or market conditions.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prepared for internal use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Aurora Skincare Co. — MMM Snapshot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3b28b6f99dbf2b61a2bc0276635f38229fce17.png"/><Relationship Id="rId10" Type="http://schemas.openxmlformats.org/officeDocument/2006/relationships/image" Target="media/79242a777f6d8818f43049976aa225d3bf9df95c.png"/><Relationship Id="rId11" Type="http://schemas.openxmlformats.org/officeDocument/2006/relationships/image" Target="media/729aca98c919b5c45ca112cdb16b9cff460dfd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2026-07-05T17:55:12.735Z</dcterms:created>
  <dcterms:modified xsi:type="dcterms:W3CDTF">2026-07-05T17:55:12.735Z</dcterms:modified>
</cp:coreProperties>
</file>

<file path=docProps/custom.xml><?xml version="1.0" encoding="utf-8"?>
<Properties xmlns="http://schemas.openxmlformats.org/officeDocument/2006/custom-properties" xmlns:vt="http://schemas.openxmlformats.org/officeDocument/2006/docPropsVTypes"/>
</file>