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8746AD">
      <w:pPr>
        <w:spacing w:before="2400"/>
      </w:pPr>
    </w:p>
    <w:p w14:paraId="03FBBD0C">
      <w:pPr>
        <w:jc w:val="center"/>
      </w:pPr>
      <w:r>
        <w:rPr>
          <w:b/>
          <w:bCs/>
          <w:color w:val="595959"/>
          <w:sz w:val="30"/>
          <w:szCs w:val="30"/>
        </w:rPr>
        <w:t>MARKETING MIX MODELING</w:t>
      </w:r>
    </w:p>
    <w:p w14:paraId="06D1AF23">
      <w:pPr>
        <w:spacing w:before="200" w:after="400"/>
        <w:jc w:val="center"/>
      </w:pPr>
      <w:r>
        <w:rPr>
          <w:b/>
          <w:bCs/>
          <w:color w:val="1F3864"/>
          <w:sz w:val="56"/>
          <w:szCs w:val="56"/>
        </w:rPr>
        <w:t>Multi-Channel Spend Optimization Case Study</w:t>
      </w:r>
    </w:p>
    <w:p w14:paraId="2BC07F2E">
      <w:pPr>
        <w:spacing w:before="100" w:after="1600"/>
        <w:jc w:val="center"/>
      </w:pPr>
      <w:r>
        <w:rPr>
          <w:i/>
          <w:iCs/>
          <w:color w:val="595959"/>
          <w:sz w:val="24"/>
          <w:szCs w:val="24"/>
        </w:rPr>
        <w:t>A data-driven analysis of marketing channel effectiveness, promotional impact, and budget efficiency</w:t>
      </w:r>
    </w:p>
    <w:p w14:paraId="3941AFEE">
      <w:pPr>
        <w:spacing w:before="4000"/>
        <w:jc w:val="center"/>
      </w:pPr>
      <w:r>
        <w:rPr>
          <w:sz w:val="22"/>
          <w:szCs w:val="22"/>
        </w:rPr>
        <w:t>Prepared by: [</w:t>
      </w:r>
      <w:r>
        <w:rPr>
          <w:rFonts w:hint="default"/>
          <w:sz w:val="22"/>
          <w:szCs w:val="22"/>
          <w:lang w:val="en-US"/>
        </w:rPr>
        <w:t>Aman Usman</w:t>
      </w:r>
      <w:r>
        <w:rPr>
          <w:sz w:val="22"/>
          <w:szCs w:val="22"/>
        </w:rPr>
        <w:t>]</w:t>
      </w:r>
    </w:p>
    <w:p w14:paraId="4B557287">
      <w:pPr>
        <w:spacing w:before="80"/>
        <w:jc w:val="center"/>
      </w:pPr>
      <w:r>
        <w:rPr>
          <w:sz w:val="22"/>
          <w:szCs w:val="22"/>
        </w:rPr>
        <w:t xml:space="preserve">Portfolio Case Study — </w:t>
      </w:r>
      <w:r>
        <w:rPr>
          <w:rFonts w:hint="default"/>
          <w:sz w:val="22"/>
          <w:szCs w:val="22"/>
          <w:lang w:val="en-US"/>
        </w:rPr>
        <w:t>Marketing</w:t>
      </w:r>
      <w:r>
        <w:rPr>
          <w:sz w:val="22"/>
          <w:szCs w:val="22"/>
        </w:rPr>
        <w:t xml:space="preserve"> Analytics Report</w:t>
      </w:r>
    </w:p>
    <w:p w14:paraId="43AE0CC6">
      <w:pPr>
        <w:spacing w:before="80"/>
        <w:jc w:val="center"/>
        <w:rPr>
          <w:rFonts w:hint="default"/>
          <w:lang w:val="en-US"/>
        </w:rPr>
        <w:sectPr>
          <w:pgSz w:w="12240" w:h="15840"/>
          <w:pgMar w:top="1440" w:right="1440" w:bottom="1440" w:left="1440" w:header="708" w:footer="708" w:gutter="0"/>
          <w:cols w:space="720" w:num="1"/>
          <w:docGrid w:linePitch="360" w:charSpace="0"/>
        </w:sectPr>
      </w:pPr>
      <w:r>
        <w:rPr>
          <w:sz w:val="22"/>
          <w:szCs w:val="22"/>
        </w:rPr>
        <w:t>July 20</w:t>
      </w:r>
      <w:r>
        <w:rPr>
          <w:rFonts w:hint="default"/>
          <w:sz w:val="22"/>
          <w:szCs w:val="22"/>
          <w:lang w:val="en-US"/>
        </w:rPr>
        <w:t>26</w:t>
      </w:r>
      <w:bookmarkStart w:id="0" w:name="_GoBack"/>
      <w:bookmarkEnd w:id="0"/>
    </w:p>
    <w:p w14:paraId="3A868C21">
      <w:pPr>
        <w:pStyle w:val="2"/>
        <w:spacing w:before="360" w:after="200"/>
      </w:pPr>
    </w:p>
    <w:p w14:paraId="7143A62F">
      <w:pPr>
        <w:pStyle w:val="2"/>
        <w:spacing w:before="360" w:after="200"/>
      </w:pPr>
      <w:r>
        <w:rPr>
          <w:b/>
          <w:bCs/>
          <w:color w:val="1F3864"/>
        </w:rPr>
        <w:t>Executive Summary</w:t>
      </w:r>
    </w:p>
    <w:p w14:paraId="4D3970C8">
      <w:pPr>
        <w:spacing w:after="180" w:line="300" w:lineRule="auto"/>
      </w:pPr>
      <w:r>
        <w:t>This report analyzes 209 weeks of marketing spend and sales data across eight channels — Instagram, Google Ads, TV, YouTube, Newspaper, Influencer, OTT, and competitor spend as a benchmark — alongside promotional campaigns and holiday timing, to determine which marketing investments are actually driving sales.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60"/>
      </w:tblGrid>
      <w:tr w14:paraId="2AAAC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3864" w:sz="4" w:space="0"/>
              <w:left w:val="single" w:color="1F3864" w:sz="4" w:space="0"/>
              <w:bottom w:val="single" w:color="1F3864" w:sz="4" w:space="0"/>
              <w:right w:val="single" w:color="1F3864" w:sz="4" w:space="0"/>
            </w:tcBorders>
            <w:shd w:val="clear" w:color="auto" w:fill="EDF2F8"/>
            <w:tcMar>
              <w:top w:w="150" w:type="dxa"/>
              <w:left w:w="200" w:type="dxa"/>
              <w:bottom w:w="150" w:type="dxa"/>
              <w:right w:w="200" w:type="dxa"/>
            </w:tcMar>
          </w:tcPr>
          <w:p w14:paraId="2009E125">
            <w:pPr>
              <w:spacing w:after="80"/>
            </w:pPr>
            <w:r>
              <w:rPr>
                <w:b/>
                <w:bCs/>
                <w:color w:val="1F3864"/>
              </w:rPr>
              <w:t>Bottom line for leadership</w:t>
            </w:r>
          </w:p>
          <w:p w14:paraId="4B9EE139">
            <w:pPr>
              <w:spacing w:after="0" w:line="280" w:lineRule="auto"/>
            </w:pPr>
            <w:r>
              <w:t>Every media channel tested shows a positive relationship with sales. Two findings stand out as immediately actionable: Newspaper spend is dramatically more efficient per dollar than any other channel, and the promotion that looked best in raw sales data (Coupons) is not the one that performs best once other factors are controlled for (BOGO is).</w:t>
            </w:r>
          </w:p>
        </w:tc>
      </w:tr>
    </w:tbl>
    <w:p w14:paraId="5857014A">
      <w:pPr>
        <w:spacing w:after="200"/>
      </w:pPr>
    </w:p>
    <w:p w14:paraId="7BCED0C0">
      <w:pPr>
        <w:spacing w:after="180" w:line="300" w:lineRule="auto"/>
      </w:pPr>
      <w:r>
        <w:t>Key findings at a glance:</w:t>
      </w:r>
    </w:p>
    <w:p w14:paraId="2089EEAB">
      <w:pPr>
        <w:pStyle w:val="16"/>
        <w:numPr>
          <w:ilvl w:val="0"/>
          <w:numId w:val="1"/>
        </w:numPr>
        <w:spacing w:after="100" w:line="280" w:lineRule="auto"/>
      </w:pPr>
      <w:r>
        <w:t>All eight channels show a positive contribution to sales — no channel appears to be wasted spend.</w:t>
      </w:r>
    </w:p>
    <w:p w14:paraId="0EB0BB21">
      <w:pPr>
        <w:pStyle w:val="16"/>
        <w:numPr>
          <w:ilvl w:val="0"/>
          <w:numId w:val="1"/>
        </w:numPr>
        <w:spacing w:after="100" w:line="280" w:lineRule="auto"/>
      </w:pPr>
      <w:r>
        <w:t>Google Ads and Instagram are the two largest overall drivers of sales in dollar terms.</w:t>
      </w:r>
    </w:p>
    <w:p w14:paraId="6F9FA5DA">
      <w:pPr>
        <w:pStyle w:val="16"/>
        <w:numPr>
          <w:ilvl w:val="0"/>
          <w:numId w:val="1"/>
        </w:numPr>
        <w:spacing w:after="100" w:line="280" w:lineRule="auto"/>
      </w:pPr>
      <w:r>
        <w:t>Newspaper spend delivers the highest return per incremental dollar (an estimated 13.5x), despite being the smallest budget line.</w:t>
      </w:r>
    </w:p>
    <w:p w14:paraId="05233EB2">
      <w:pPr>
        <w:pStyle w:val="16"/>
        <w:numPr>
          <w:ilvl w:val="0"/>
          <w:numId w:val="1"/>
        </w:numPr>
        <w:spacing w:after="100" w:line="280" w:lineRule="auto"/>
      </w:pPr>
      <w:r>
        <w:t>BOGO outperforms every other promotion type once media spend and timing are accounted for — reversing what the raw sales averages suggested.</w:t>
      </w:r>
    </w:p>
    <w:p w14:paraId="1FA52661">
      <w:pPr>
        <w:pStyle w:val="16"/>
        <w:numPr>
          <w:ilvl w:val="0"/>
          <w:numId w:val="1"/>
        </w:numPr>
        <w:spacing w:after="100" w:line="280" w:lineRule="auto"/>
      </w:pPr>
      <w:r>
        <w:t>The model explains typical week-to-week sales movement well, but under-predicts both an extreme sales spike and several sharp dips — a real limitation to know about before relying on it for precise forecasts.</w:t>
      </w:r>
    </w:p>
    <w:p w14:paraId="1DA4826A">
      <w:pPr>
        <w:pStyle w:val="16"/>
        <w:numPr>
          <w:ilvl w:val="0"/>
          <w:numId w:val="1"/>
        </w:numPr>
        <w:spacing w:after="100" w:line="280" w:lineRule="auto"/>
      </w:pPr>
      <w:r>
        <w:t>Standard model-accuracy metrics (R², average error) were not available at the time of this report and are flagged as an open item, not glossed over.</w:t>
      </w:r>
    </w:p>
    <w:p w14:paraId="4E0B0133">
      <w:pPr>
        <w:spacing w:after="200"/>
      </w:pPr>
    </w:p>
    <w:p w14:paraId="7EEFCB5B">
      <w:pPr>
        <w:spacing w:after="180" w:line="300" w:lineRule="auto"/>
      </w:pPr>
      <w:r>
        <w:t>This report is written to be understood without a data science background. Technical detail is included for transparency and reproducibility, but every finding is explained first in plain business terms.</w:t>
      </w:r>
    </w:p>
    <w:p w14:paraId="08D43A92">
      <w:r>
        <w:br w:type="page"/>
      </w:r>
    </w:p>
    <w:p w14:paraId="004C4AEA">
      <w:pPr>
        <w:pStyle w:val="2"/>
        <w:spacing w:before="360" w:after="200"/>
      </w:pPr>
      <w:r>
        <w:rPr>
          <w:b/>
          <w:bCs/>
          <w:color w:val="1F3864"/>
        </w:rPr>
        <w:t>Business Problem</w:t>
      </w:r>
    </w:p>
    <w:p w14:paraId="1BD12F0A">
      <w:pPr>
        <w:spacing w:after="180" w:line="300" w:lineRule="auto"/>
      </w:pPr>
      <w:r>
        <w:t>Companies that advertise across many channels face a recurring, expensive question: which channels are actually earning their budget, and which are simply riding along on other demand drivers — promotions, seasonality, or competitor behavior?</w:t>
      </w:r>
    </w:p>
    <w:p w14:paraId="331375C9">
      <w:pPr>
        <w:spacing w:after="180" w:line="300" w:lineRule="auto"/>
      </w:pPr>
      <w:r>
        <w:t>Without a structured model, marketing budgets tend to be allocated based on habit or intuition rather than evidence. This carries cost in two directions: money keeps flowing to channels that aren't earning it, while channels that are quietly effective stay under-invested because their impact isn't obvious from sales totals alone.</w:t>
      </w:r>
    </w:p>
    <w:p w14:paraId="1B9D2A4A">
      <w:pPr>
        <w:spacing w:after="180" w:line="300" w:lineRule="auto"/>
      </w:pPr>
      <w:r>
        <w:t>This project was scoped to answer that question directly for a specific business: 209 weeks of spend across eight channels, plus promotion and holiday data, mapped to weekly sales — with the goal of producing a defensible, data-driven view of channel effectiveness that can inform real budget decisions.</w:t>
      </w:r>
    </w:p>
    <w:p w14:paraId="3CD92330">
      <w:r>
        <w:br w:type="page"/>
      </w:r>
    </w:p>
    <w:p w14:paraId="1DF0202C">
      <w:pPr>
        <w:pStyle w:val="2"/>
        <w:spacing w:before="360" w:after="200"/>
      </w:pPr>
      <w:r>
        <w:rPr>
          <w:b/>
          <w:bCs/>
          <w:color w:val="1F3864"/>
        </w:rPr>
        <w:t>Dataset</w:t>
      </w:r>
    </w:p>
    <w:p w14:paraId="39ED22C9">
      <w:pPr>
        <w:spacing w:after="180" w:line="300" w:lineRule="auto"/>
      </w:pPr>
      <w:r>
        <w:t>The dataset covers 209 weekly observations across 12 columns, spanning early 2022 through early 2026.</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5160"/>
      </w:tblGrid>
      <w:tr w14:paraId="5C40C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20" w:type="dxa"/>
              <w:bottom w:w="80" w:type="dxa"/>
              <w:right w:w="120" w:type="dxa"/>
            </w:tcMar>
            <w:vAlign w:val="center"/>
          </w:tcPr>
          <w:p w14:paraId="67B4B6E4">
            <w:r>
              <w:rPr>
                <w:b/>
                <w:bCs/>
                <w:color w:val="FFFFFF"/>
                <w:sz w:val="20"/>
                <w:szCs w:val="20"/>
              </w:rPr>
              <w:t>Column</w:t>
            </w:r>
          </w:p>
        </w:tc>
        <w:tc>
          <w:tcPr>
            <w:tcW w:w="1800" w:type="dxa"/>
            <w:shd w:val="clear" w:color="auto" w:fill="1F3864"/>
            <w:tcMar>
              <w:top w:w="80" w:type="dxa"/>
              <w:left w:w="120" w:type="dxa"/>
              <w:bottom w:w="80" w:type="dxa"/>
              <w:right w:w="120" w:type="dxa"/>
            </w:tcMar>
            <w:vAlign w:val="center"/>
          </w:tcPr>
          <w:p w14:paraId="4AAE4D64">
            <w:r>
              <w:rPr>
                <w:b/>
                <w:bCs/>
                <w:color w:val="FFFFFF"/>
                <w:sz w:val="20"/>
                <w:szCs w:val="20"/>
              </w:rPr>
              <w:t>Type</w:t>
            </w:r>
          </w:p>
        </w:tc>
        <w:tc>
          <w:tcPr>
            <w:tcW w:w="5160" w:type="dxa"/>
            <w:shd w:val="clear" w:color="auto" w:fill="1F3864"/>
            <w:tcMar>
              <w:top w:w="80" w:type="dxa"/>
              <w:left w:w="120" w:type="dxa"/>
              <w:bottom w:w="80" w:type="dxa"/>
              <w:right w:w="120" w:type="dxa"/>
            </w:tcMar>
            <w:vAlign w:val="center"/>
          </w:tcPr>
          <w:p w14:paraId="76EFA3FB">
            <w:r>
              <w:rPr>
                <w:b/>
                <w:bCs/>
                <w:color w:val="FFFFFF"/>
                <w:sz w:val="20"/>
                <w:szCs w:val="20"/>
              </w:rPr>
              <w:t>Description</w:t>
            </w:r>
          </w:p>
        </w:tc>
      </w:tr>
      <w:tr w14:paraId="518FB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60" w:type="dxa"/>
              <w:left w:w="120" w:type="dxa"/>
              <w:bottom w:w="60" w:type="dxa"/>
              <w:right w:w="120" w:type="dxa"/>
            </w:tcMar>
            <w:vAlign w:val="center"/>
          </w:tcPr>
          <w:p w14:paraId="3356F233">
            <w:r>
              <w:rPr>
                <w:sz w:val="20"/>
                <w:szCs w:val="20"/>
              </w:rPr>
              <w:t>date</w:t>
            </w:r>
          </w:p>
        </w:tc>
        <w:tc>
          <w:tcPr>
            <w:tcW w:w="1800" w:type="dxa"/>
            <w:shd w:val="clear" w:color="auto" w:fill="FFFFFF"/>
            <w:tcMar>
              <w:top w:w="60" w:type="dxa"/>
              <w:left w:w="120" w:type="dxa"/>
              <w:bottom w:w="60" w:type="dxa"/>
              <w:right w:w="120" w:type="dxa"/>
            </w:tcMar>
            <w:vAlign w:val="center"/>
          </w:tcPr>
          <w:p w14:paraId="589F427E">
            <w:r>
              <w:rPr>
                <w:sz w:val="20"/>
                <w:szCs w:val="20"/>
              </w:rPr>
              <w:t>Date</w:t>
            </w:r>
          </w:p>
        </w:tc>
        <w:tc>
          <w:tcPr>
            <w:tcW w:w="5160" w:type="dxa"/>
            <w:shd w:val="clear" w:color="auto" w:fill="FFFFFF"/>
            <w:tcMar>
              <w:top w:w="60" w:type="dxa"/>
              <w:left w:w="120" w:type="dxa"/>
              <w:bottom w:w="60" w:type="dxa"/>
              <w:right w:w="120" w:type="dxa"/>
            </w:tcMar>
            <w:vAlign w:val="center"/>
          </w:tcPr>
          <w:p w14:paraId="50A2E24E">
            <w:r>
              <w:rPr>
                <w:sz w:val="20"/>
                <w:szCs w:val="20"/>
              </w:rPr>
              <w:t>Week start date</w:t>
            </w:r>
          </w:p>
        </w:tc>
      </w:tr>
      <w:tr w14:paraId="6D806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4F6F8"/>
            <w:tcMar>
              <w:top w:w="60" w:type="dxa"/>
              <w:left w:w="120" w:type="dxa"/>
              <w:bottom w:w="60" w:type="dxa"/>
              <w:right w:w="120" w:type="dxa"/>
            </w:tcMar>
            <w:vAlign w:val="center"/>
          </w:tcPr>
          <w:p w14:paraId="494063EB">
            <w:r>
              <w:rPr>
                <w:sz w:val="20"/>
                <w:szCs w:val="20"/>
              </w:rPr>
              <w:t>holiday</w:t>
            </w:r>
          </w:p>
        </w:tc>
        <w:tc>
          <w:tcPr>
            <w:tcW w:w="1800" w:type="dxa"/>
            <w:shd w:val="clear" w:color="auto" w:fill="F4F6F8"/>
            <w:tcMar>
              <w:top w:w="60" w:type="dxa"/>
              <w:left w:w="120" w:type="dxa"/>
              <w:bottom w:w="60" w:type="dxa"/>
              <w:right w:w="120" w:type="dxa"/>
            </w:tcMar>
            <w:vAlign w:val="center"/>
          </w:tcPr>
          <w:p w14:paraId="4EF8B056">
            <w:r>
              <w:rPr>
                <w:sz w:val="20"/>
                <w:szCs w:val="20"/>
              </w:rPr>
              <w:t>Flag (0/1)</w:t>
            </w:r>
          </w:p>
        </w:tc>
        <w:tc>
          <w:tcPr>
            <w:tcW w:w="5160" w:type="dxa"/>
            <w:shd w:val="clear" w:color="auto" w:fill="F4F6F8"/>
            <w:tcMar>
              <w:top w:w="60" w:type="dxa"/>
              <w:left w:w="120" w:type="dxa"/>
              <w:bottom w:w="60" w:type="dxa"/>
              <w:right w:w="120" w:type="dxa"/>
            </w:tcMar>
            <w:vAlign w:val="center"/>
          </w:tcPr>
          <w:p w14:paraId="78EFE4B7">
            <w:r>
              <w:rPr>
                <w:sz w:val="20"/>
                <w:szCs w:val="20"/>
              </w:rPr>
              <w:t>Whether the week included a holiday</w:t>
            </w:r>
          </w:p>
        </w:tc>
      </w:tr>
      <w:tr w14:paraId="58218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60" w:type="dxa"/>
              <w:left w:w="120" w:type="dxa"/>
              <w:bottom w:w="60" w:type="dxa"/>
              <w:right w:w="120" w:type="dxa"/>
            </w:tcMar>
            <w:vAlign w:val="center"/>
          </w:tcPr>
          <w:p w14:paraId="329D2E00">
            <w:r>
              <w:rPr>
                <w:sz w:val="20"/>
                <w:szCs w:val="20"/>
              </w:rPr>
              <w:t>sales_promotion</w:t>
            </w:r>
          </w:p>
        </w:tc>
        <w:tc>
          <w:tcPr>
            <w:tcW w:w="1800" w:type="dxa"/>
            <w:shd w:val="clear" w:color="auto" w:fill="FFFFFF"/>
            <w:tcMar>
              <w:top w:w="60" w:type="dxa"/>
              <w:left w:w="120" w:type="dxa"/>
              <w:bottom w:w="60" w:type="dxa"/>
              <w:right w:w="120" w:type="dxa"/>
            </w:tcMar>
            <w:vAlign w:val="center"/>
          </w:tcPr>
          <w:p w14:paraId="1B4D7610">
            <w:r>
              <w:rPr>
                <w:sz w:val="20"/>
                <w:szCs w:val="20"/>
              </w:rPr>
              <w:t>Category</w:t>
            </w:r>
          </w:p>
        </w:tc>
        <w:tc>
          <w:tcPr>
            <w:tcW w:w="5160" w:type="dxa"/>
            <w:shd w:val="clear" w:color="auto" w:fill="FFFFFF"/>
            <w:tcMar>
              <w:top w:w="60" w:type="dxa"/>
              <w:left w:w="120" w:type="dxa"/>
              <w:bottom w:w="60" w:type="dxa"/>
              <w:right w:w="120" w:type="dxa"/>
            </w:tcMar>
            <w:vAlign w:val="center"/>
          </w:tcPr>
          <w:p w14:paraId="69232940">
            <w:r>
              <w:rPr>
                <w:sz w:val="20"/>
                <w:szCs w:val="20"/>
              </w:rPr>
              <w:t>Promotion running: Normal, BOGO, Coupons, Flash Sale</w:t>
            </w:r>
          </w:p>
        </w:tc>
      </w:tr>
      <w:tr w14:paraId="34D6F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4F6F8"/>
            <w:tcMar>
              <w:top w:w="60" w:type="dxa"/>
              <w:left w:w="120" w:type="dxa"/>
              <w:bottom w:w="60" w:type="dxa"/>
              <w:right w:w="120" w:type="dxa"/>
            </w:tcMar>
            <w:vAlign w:val="center"/>
          </w:tcPr>
          <w:p w14:paraId="3D7B20CB">
            <w:r>
              <w:rPr>
                <w:sz w:val="20"/>
                <w:szCs w:val="20"/>
              </w:rPr>
              <w:t>competitor_spend</w:t>
            </w:r>
          </w:p>
        </w:tc>
        <w:tc>
          <w:tcPr>
            <w:tcW w:w="1800" w:type="dxa"/>
            <w:shd w:val="clear" w:color="auto" w:fill="F4F6F8"/>
            <w:tcMar>
              <w:top w:w="60" w:type="dxa"/>
              <w:left w:w="120" w:type="dxa"/>
              <w:bottom w:w="60" w:type="dxa"/>
              <w:right w:w="120" w:type="dxa"/>
            </w:tcMar>
            <w:vAlign w:val="center"/>
          </w:tcPr>
          <w:p w14:paraId="614D2510">
            <w:r>
              <w:rPr>
                <w:sz w:val="20"/>
                <w:szCs w:val="20"/>
              </w:rPr>
              <w:t>Numeric</w:t>
            </w:r>
          </w:p>
        </w:tc>
        <w:tc>
          <w:tcPr>
            <w:tcW w:w="5160" w:type="dxa"/>
            <w:shd w:val="clear" w:color="auto" w:fill="F4F6F8"/>
            <w:tcMar>
              <w:top w:w="60" w:type="dxa"/>
              <w:left w:w="120" w:type="dxa"/>
              <w:bottom w:w="60" w:type="dxa"/>
              <w:right w:w="120" w:type="dxa"/>
            </w:tcMar>
            <w:vAlign w:val="center"/>
          </w:tcPr>
          <w:p w14:paraId="181C9863">
            <w:r>
              <w:rPr>
                <w:sz w:val="20"/>
                <w:szCs w:val="20"/>
              </w:rPr>
              <w:t>Estimated competitor marketing spend</w:t>
            </w:r>
          </w:p>
        </w:tc>
      </w:tr>
      <w:tr w14:paraId="75A92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60" w:type="dxa"/>
              <w:left w:w="120" w:type="dxa"/>
              <w:bottom w:w="60" w:type="dxa"/>
              <w:right w:w="120" w:type="dxa"/>
            </w:tcMar>
            <w:vAlign w:val="center"/>
          </w:tcPr>
          <w:p w14:paraId="5932B29F">
            <w:r>
              <w:rPr>
                <w:sz w:val="20"/>
                <w:szCs w:val="20"/>
              </w:rPr>
              <w:t>8 channel spend columns</w:t>
            </w:r>
          </w:p>
        </w:tc>
        <w:tc>
          <w:tcPr>
            <w:tcW w:w="1800" w:type="dxa"/>
            <w:shd w:val="clear" w:color="auto" w:fill="FFFFFF"/>
            <w:tcMar>
              <w:top w:w="60" w:type="dxa"/>
              <w:left w:w="120" w:type="dxa"/>
              <w:bottom w:w="60" w:type="dxa"/>
              <w:right w:w="120" w:type="dxa"/>
            </w:tcMar>
            <w:vAlign w:val="center"/>
          </w:tcPr>
          <w:p w14:paraId="09312B3D">
            <w:r>
              <w:rPr>
                <w:sz w:val="20"/>
                <w:szCs w:val="20"/>
              </w:rPr>
              <w:t>Numeric</w:t>
            </w:r>
          </w:p>
        </w:tc>
        <w:tc>
          <w:tcPr>
            <w:tcW w:w="5160" w:type="dxa"/>
            <w:shd w:val="clear" w:color="auto" w:fill="FFFFFF"/>
            <w:tcMar>
              <w:top w:w="60" w:type="dxa"/>
              <w:left w:w="120" w:type="dxa"/>
              <w:bottom w:w="60" w:type="dxa"/>
              <w:right w:w="120" w:type="dxa"/>
            </w:tcMar>
            <w:vAlign w:val="center"/>
          </w:tcPr>
          <w:p w14:paraId="0E34ADC9">
            <w:r>
              <w:rPr>
                <w:sz w:val="20"/>
                <w:szCs w:val="20"/>
              </w:rPr>
              <w:t>Weekly spend: Instagram, Google Ads, TV, YouTube, Newspaper, Influencer, OTT</w:t>
            </w:r>
          </w:p>
        </w:tc>
      </w:tr>
      <w:tr w14:paraId="1669B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4F6F8"/>
            <w:tcMar>
              <w:top w:w="60" w:type="dxa"/>
              <w:left w:w="120" w:type="dxa"/>
              <w:bottom w:w="60" w:type="dxa"/>
              <w:right w:w="120" w:type="dxa"/>
            </w:tcMar>
            <w:vAlign w:val="center"/>
          </w:tcPr>
          <w:p w14:paraId="2E6A5B37">
            <w:r>
              <w:rPr>
                <w:sz w:val="20"/>
                <w:szCs w:val="20"/>
              </w:rPr>
              <w:t>sales</w:t>
            </w:r>
          </w:p>
        </w:tc>
        <w:tc>
          <w:tcPr>
            <w:tcW w:w="1800" w:type="dxa"/>
            <w:shd w:val="clear" w:color="auto" w:fill="F4F6F8"/>
            <w:tcMar>
              <w:top w:w="60" w:type="dxa"/>
              <w:left w:w="120" w:type="dxa"/>
              <w:bottom w:w="60" w:type="dxa"/>
              <w:right w:w="120" w:type="dxa"/>
            </w:tcMar>
            <w:vAlign w:val="center"/>
          </w:tcPr>
          <w:p w14:paraId="3705C03D">
            <w:r>
              <w:rPr>
                <w:sz w:val="20"/>
                <w:szCs w:val="20"/>
              </w:rPr>
              <w:t>Numeric</w:t>
            </w:r>
          </w:p>
        </w:tc>
        <w:tc>
          <w:tcPr>
            <w:tcW w:w="5160" w:type="dxa"/>
            <w:shd w:val="clear" w:color="auto" w:fill="F4F6F8"/>
            <w:tcMar>
              <w:top w:w="60" w:type="dxa"/>
              <w:left w:w="120" w:type="dxa"/>
              <w:bottom w:w="60" w:type="dxa"/>
              <w:right w:w="120" w:type="dxa"/>
            </w:tcMar>
            <w:vAlign w:val="center"/>
          </w:tcPr>
          <w:p w14:paraId="40A6FA52">
            <w:r>
              <w:rPr>
                <w:sz w:val="20"/>
                <w:szCs w:val="20"/>
              </w:rPr>
              <w:t>Weekly sales — the outcome being explained</w:t>
            </w:r>
          </w:p>
        </w:tc>
      </w:tr>
    </w:tbl>
    <w:p w14:paraId="7E7C422A">
      <w:pPr>
        <w:spacing w:after="200"/>
      </w:pPr>
    </w:p>
    <w:p w14:paraId="1AB11563">
      <w:pPr>
        <w:spacing w:after="180" w:line="300" w:lineRule="auto"/>
      </w:pPr>
      <w:r>
        <w:t>Average weekly sales were approximately $2.32M, ranging from $1.08M to $4.34M, with a standard deviation of about $438K. Promotion weeks broke down as: Normal (37.8%), Coupons (31.6%), BOGO (23.0%), and Flash Sale (7.7%, only 16 weeks — a small sample worth keeping in mind). Holiday weeks were rare: only 12 of 209 weeks (5.7%).</w:t>
      </w:r>
    </w:p>
    <w:p w14:paraId="1A02AB2F">
      <w:r>
        <w:br w:type="page"/>
      </w:r>
    </w:p>
    <w:p w14:paraId="323CF77E">
      <w:pPr>
        <w:pStyle w:val="2"/>
        <w:spacing w:before="360" w:after="200"/>
      </w:pPr>
      <w:r>
        <w:rPr>
          <w:b/>
          <w:bCs/>
          <w:color w:val="1F3864"/>
        </w:rPr>
        <w:t>Data Cleaning</w:t>
      </w:r>
    </w:p>
    <w:p w14:paraId="375A67F9">
      <w:pPr>
        <w:pStyle w:val="3"/>
        <w:spacing w:before="240" w:after="120"/>
      </w:pPr>
      <w:r>
        <w:rPr>
          <w:b/>
          <w:bCs/>
          <w:color w:val="1F3864"/>
        </w:rPr>
        <w:t>Inconsistent Date Formats</w:t>
      </w:r>
    </w:p>
    <w:p w14:paraId="52413A6F">
      <w:pPr>
        <w:spacing w:after="180" w:line="300" w:lineRule="auto"/>
      </w:pPr>
      <w:r>
        <w:t>The date column mixed multiple formats within the same file (e.g., 3/1/2022 as month/day/year alongside 17-01-2022 as day/month/year). Parsing this naively risks silently swapping days and months for some rows — which would quietly corrupt any time-based analysis without an obvious error. A custom parser was built to detect and handle each format explicitly.</w:t>
      </w:r>
    </w:p>
    <w:p w14:paraId="33F061B9">
      <w:pPr>
        <w:pStyle w:val="3"/>
        <w:spacing w:before="240" w:after="120"/>
      </w:pPr>
      <w:r>
        <w:rPr>
          <w:b/>
          <w:bCs/>
          <w:color w:val="1F3864"/>
        </w:rPr>
        <w:t>Missing Values — the Key Judgment Call</w:t>
      </w:r>
    </w:p>
    <w:p w14:paraId="776B4430">
      <w:pPr>
        <w:spacing w:after="180" w:line="300" w:lineRule="auto"/>
      </w:pPr>
      <w:r>
        <w:t>Every media channel had a substantial share of missing values, ranging from 23.9% (Instagram, OTT) to 38.3% (Google Ads).</w:t>
      </w:r>
    </w:p>
    <w:p w14:paraId="4D9C4AD1">
      <w:pPr>
        <w:spacing w:before="200"/>
        <w:jc w:val="center"/>
      </w:pPr>
      <w:r>
        <w:drawing>
          <wp:inline distT="0" distB="0" distL="0" distR="0">
            <wp:extent cx="4762500" cy="2981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762500" cy="2981325"/>
                    </a:xfrm>
                    <a:prstGeom prst="rect">
                      <a:avLst/>
                    </a:prstGeom>
                  </pic:spPr>
                </pic:pic>
              </a:graphicData>
            </a:graphic>
          </wp:inline>
        </w:drawing>
      </w:r>
    </w:p>
    <w:p w14:paraId="07A5B9B6">
      <w:pPr>
        <w:spacing w:before="80" w:after="300"/>
        <w:jc w:val="center"/>
      </w:pPr>
      <w:r>
        <w:rPr>
          <w:i/>
          <w:iCs/>
          <w:color w:val="595959"/>
          <w:sz w:val="20"/>
          <w:szCs w:val="20"/>
        </w:rPr>
        <w:t>Figure 1. Missing values by column.</w:t>
      </w:r>
    </w:p>
    <w:p w14:paraId="433F4EDC">
      <w:pPr>
        <w:spacing w:after="180" w:line="300" w:lineRule="auto"/>
      </w:pPr>
      <w:r>
        <w:t>Rather than treating this as a data-quality failure to patch with an average, the pattern was interpreted for what it most likely represents: media flighting — channels simply weren't running every week. A week with no Google Ads campaign isn't a mystery to estimate; it's zero spend.</w:t>
      </w:r>
    </w:p>
    <w:p w14:paraId="137593BE">
      <w:pPr>
        <w:pStyle w:val="16"/>
        <w:numPr>
          <w:ilvl w:val="0"/>
          <w:numId w:val="1"/>
        </w:numPr>
        <w:spacing w:after="100" w:line="280" w:lineRule="auto"/>
      </w:pPr>
      <w:r>
        <w:t>Media channel spend: missing values recoded to 0 (channel inactive that week).</w:t>
      </w:r>
    </w:p>
    <w:p w14:paraId="1AD86542">
      <w:pPr>
        <w:pStyle w:val="16"/>
        <w:numPr>
          <w:ilvl w:val="0"/>
          <w:numId w:val="1"/>
        </w:numPr>
        <w:spacing w:after="100" w:line="280" w:lineRule="auto"/>
      </w:pPr>
      <w:r>
        <w:t>Competitor spend: missing only 4.3% of the time with no flighting-style pattern — imputed with the median, treated as a background control variable rather than a channel the business controls.</w:t>
      </w:r>
    </w:p>
    <w:p w14:paraId="1A52398C">
      <w:pPr>
        <w:pStyle w:val="16"/>
        <w:numPr>
          <w:ilvl w:val="0"/>
          <w:numId w:val="1"/>
        </w:numPr>
        <w:spacing w:after="100" w:line="280" w:lineRule="auto"/>
      </w:pPr>
      <w:r>
        <w:t>Sales (the target): missing in 3 of 209 rows (1.4%) — these rows were dropped rather than imputed, since inventing the number the model exists to explain would corrupt everything downstream.</w:t>
      </w:r>
    </w:p>
    <w:p w14:paraId="08A01D91">
      <w:pPr>
        <w:spacing w:after="180" w:line="300" w:lineRule="auto"/>
      </w:pPr>
      <w:r>
        <w:rPr>
          <w:b/>
          <w:bCs/>
        </w:rPr>
        <w:t>Final cleaned dataset: 206 weekly rows.</w:t>
      </w:r>
    </w:p>
    <w:p w14:paraId="4C0C7468">
      <w:r>
        <w:br w:type="page"/>
      </w:r>
    </w:p>
    <w:p w14:paraId="14976923">
      <w:pPr>
        <w:pStyle w:val="2"/>
        <w:spacing w:before="360" w:after="200"/>
      </w:pPr>
      <w:r>
        <w:rPr>
          <w:b/>
          <w:bCs/>
          <w:color w:val="1F3864"/>
        </w:rPr>
        <w:t>Exploratory Data Analysis</w:t>
      </w:r>
    </w:p>
    <w:p w14:paraId="79F4C5D6">
      <w:pPr>
        <w:spacing w:after="180" w:line="300" w:lineRule="auto"/>
      </w:pPr>
      <w:r>
        <w:t>Before any modeling assumptions were introduced, the cleaned data was explored to understand what it actually shows.</w:t>
      </w:r>
    </w:p>
    <w:p w14:paraId="35B9EEB1">
      <w:pPr>
        <w:pStyle w:val="3"/>
        <w:spacing w:before="240" w:after="120"/>
      </w:pPr>
      <w:r>
        <w:rPr>
          <w:b/>
          <w:bCs/>
          <w:color w:val="1F3864"/>
        </w:rPr>
        <w:t>Channel Relationships and Raw Correlation with Sales</w:t>
      </w:r>
    </w:p>
    <w:p w14:paraId="12BFEC20">
      <w:pPr>
        <w:spacing w:before="200"/>
        <w:jc w:val="center"/>
      </w:pPr>
      <w:r>
        <w:drawing>
          <wp:inline distT="0" distB="0" distL="0" distR="0">
            <wp:extent cx="4572000" cy="400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4572000" cy="4000500"/>
                    </a:xfrm>
                    <a:prstGeom prst="rect">
                      <a:avLst/>
                    </a:prstGeom>
                  </pic:spPr>
                </pic:pic>
              </a:graphicData>
            </a:graphic>
          </wp:inline>
        </w:drawing>
      </w:r>
    </w:p>
    <w:p w14:paraId="43AD7FEC">
      <w:pPr>
        <w:spacing w:before="80" w:after="300"/>
        <w:jc w:val="center"/>
      </w:pPr>
      <w:r>
        <w:rPr>
          <w:i/>
          <w:iCs/>
          <w:color w:val="595959"/>
          <w:sz w:val="20"/>
          <w:szCs w:val="20"/>
        </w:rPr>
        <w:t>Figure 2. Correlation matrix across all channels and sales.</w:t>
      </w:r>
    </w:p>
    <w:p w14:paraId="032C1AEA">
      <w:pPr>
        <w:spacing w:after="180" w:line="300" w:lineRule="auto"/>
      </w:pPr>
      <w:r>
        <w:t>Two things stand out. First, channels show consistently weak correlation with each other (generally under 0.2) — meaning they weren't run in lockstep, which is favorable for isolating each channel's individual effect later. Second, every channel's raw correlation with sales is weak — the strongest is OTT at 0.196.</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60"/>
      </w:tblGrid>
      <w:tr w14:paraId="3DCC5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3864" w:sz="4" w:space="0"/>
              <w:left w:val="single" w:color="1F3864" w:sz="4" w:space="0"/>
              <w:bottom w:val="single" w:color="1F3864" w:sz="4" w:space="0"/>
              <w:right w:val="single" w:color="1F3864" w:sz="4" w:space="0"/>
            </w:tcBorders>
            <w:shd w:val="clear" w:color="auto" w:fill="EDF2F8"/>
            <w:tcMar>
              <w:top w:w="150" w:type="dxa"/>
              <w:left w:w="200" w:type="dxa"/>
              <w:bottom w:w="150" w:type="dxa"/>
              <w:right w:w="200" w:type="dxa"/>
            </w:tcMar>
          </w:tcPr>
          <w:p w14:paraId="7AFC1B3A">
            <w:pPr>
              <w:spacing w:after="80"/>
            </w:pPr>
            <w:r>
              <w:rPr>
                <w:b/>
                <w:bCs/>
                <w:color w:val="1F3864"/>
              </w:rPr>
              <w:t>Why weak correlation doesn't mean weak impact</w:t>
            </w:r>
          </w:p>
          <w:p w14:paraId="73B00D84">
            <w:pPr>
              <w:spacing w:after="0" w:line="280" w:lineRule="auto"/>
            </w:pPr>
            <w:r>
              <w:t>Marketing effects are rarely instant or linear: this week's TV spend can influence sales for weeks afterward, and each channel's effectiveness tends to flatten out at higher spend. A simple correlation can't see either dynamic — which is exactly why this analysis moves on to adstock and saturation modeling rather than stopping here (Section 7).</w:t>
            </w:r>
          </w:p>
        </w:tc>
      </w:tr>
    </w:tbl>
    <w:p w14:paraId="4D80565F">
      <w:pPr>
        <w:spacing w:after="200"/>
      </w:pPr>
    </w:p>
    <w:p w14:paraId="3987AADC">
      <w:pPr>
        <w:pStyle w:val="3"/>
        <w:spacing w:before="240" w:after="120"/>
      </w:pPr>
      <w:r>
        <w:rPr>
          <w:b/>
          <w:bCs/>
          <w:color w:val="1F3864"/>
        </w:rPr>
        <w:t>Sales by Promotion Type and Holiday</w:t>
      </w:r>
    </w:p>
    <w:p w14:paraId="4157AA80">
      <w:pPr>
        <w:spacing w:before="200"/>
        <w:jc w:val="center"/>
      </w:pPr>
      <w:r>
        <w:drawing>
          <wp:inline distT="0" distB="0" distL="0" distR="0">
            <wp:extent cx="400050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4000500" cy="2857500"/>
                    </a:xfrm>
                    <a:prstGeom prst="rect">
                      <a:avLst/>
                    </a:prstGeom>
                  </pic:spPr>
                </pic:pic>
              </a:graphicData>
            </a:graphic>
          </wp:inline>
        </w:drawing>
      </w:r>
    </w:p>
    <w:p w14:paraId="766432FC">
      <w:pPr>
        <w:spacing w:before="80" w:after="300"/>
        <w:jc w:val="center"/>
      </w:pPr>
      <w:r>
        <w:rPr>
          <w:i/>
          <w:iCs/>
          <w:color w:val="595959"/>
          <w:sz w:val="20"/>
          <w:szCs w:val="20"/>
        </w:rPr>
        <w:t>Figure 3. Average weekly sales by promotion type (raw, unadjusted).</w:t>
      </w:r>
    </w:p>
    <w:p w14:paraId="70107A87">
      <w:pPr>
        <w:spacing w:after="180" w:line="300" w:lineRule="auto"/>
      </w:pPr>
      <w:r>
        <w:t>In the raw data, Coupons weeks show the highest average sales (~$2.39M), narrowly ahead of BOGO (~$2.38M), with Flash Sale and Normal weeks lower. This raw ranking changes once the model controls for other factors — see Section 9.</w:t>
      </w:r>
    </w:p>
    <w:p w14:paraId="1D26CCF0">
      <w:pPr>
        <w:spacing w:before="200"/>
        <w:jc w:val="center"/>
      </w:pPr>
      <w:r>
        <w:drawing>
          <wp:inline distT="0" distB="0" distL="0" distR="0">
            <wp:extent cx="2667000" cy="2667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2667000" cy="2667000"/>
                    </a:xfrm>
                    <a:prstGeom prst="rect">
                      <a:avLst/>
                    </a:prstGeom>
                  </pic:spPr>
                </pic:pic>
              </a:graphicData>
            </a:graphic>
          </wp:inline>
        </w:drawing>
      </w:r>
    </w:p>
    <w:p w14:paraId="3C906160">
      <w:pPr>
        <w:spacing w:before="80" w:after="300"/>
        <w:jc w:val="center"/>
      </w:pPr>
      <w:r>
        <w:rPr>
          <w:i/>
          <w:iCs/>
          <w:color w:val="595959"/>
          <w:sz w:val="20"/>
          <w:szCs w:val="20"/>
        </w:rPr>
        <w:t>Figure 4. Average weekly sales, holiday vs. non-holiday weeks.</w:t>
      </w:r>
    </w:p>
    <w:p w14:paraId="3A04C9A1">
      <w:pPr>
        <w:spacing w:after="180" w:line="300" w:lineRule="auto"/>
      </w:pPr>
      <w:r>
        <w:t>Holiday weeks show almost no difference in average sales — but with only 12 holiday weeks in the entire dataset, this isn't strong evidence either way.</w:t>
      </w:r>
    </w:p>
    <w:p w14:paraId="010A9CE2">
      <w:pPr>
        <w:pStyle w:val="3"/>
        <w:spacing w:before="240" w:after="120"/>
      </w:pPr>
      <w:r>
        <w:rPr>
          <w:b/>
          <w:bCs/>
          <w:color w:val="1F3864"/>
        </w:rPr>
        <w:t>Channel Spend Levels</w:t>
      </w:r>
    </w:p>
    <w:p w14:paraId="518A69C6">
      <w:pPr>
        <w:spacing w:before="200"/>
        <w:jc w:val="center"/>
      </w:pPr>
      <w:r>
        <w:drawing>
          <wp:inline distT="0" distB="0" distL="0" distR="0">
            <wp:extent cx="4572000" cy="285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4572000" cy="2857500"/>
                    </a:xfrm>
                    <a:prstGeom prst="rect">
                      <a:avLst/>
                    </a:prstGeom>
                  </pic:spPr>
                </pic:pic>
              </a:graphicData>
            </a:graphic>
          </wp:inline>
        </w:drawing>
      </w:r>
    </w:p>
    <w:p w14:paraId="62A99EB2">
      <w:pPr>
        <w:spacing w:before="80" w:after="300"/>
        <w:jc w:val="center"/>
      </w:pPr>
      <w:r>
        <w:rPr>
          <w:i/>
          <w:iCs/>
          <w:color w:val="595959"/>
          <w:sz w:val="20"/>
          <w:szCs w:val="20"/>
        </w:rPr>
        <w:t>Figure 5. Average weekly spend by channel (± 1 standard deviation).</w:t>
      </w:r>
    </w:p>
    <w:p w14:paraId="7D8713E8">
      <w:r>
        <w:br w:type="page"/>
      </w:r>
    </w:p>
    <w:p w14:paraId="2C847B4B">
      <w:pPr>
        <w:pStyle w:val="2"/>
        <w:spacing w:before="360" w:after="200"/>
      </w:pPr>
      <w:r>
        <w:rPr>
          <w:b/>
          <w:bCs/>
          <w:color w:val="1F3864"/>
        </w:rPr>
        <w:t>Feature Engineering</w:t>
      </w:r>
    </w:p>
    <w:p w14:paraId="6CA3D867">
      <w:pPr>
        <w:spacing w:after="180" w:line="300" w:lineRule="auto"/>
      </w:pPr>
      <w:r>
        <w:t>Because raw correlations were weak for the reasons explained above, two standard marketing-mix-modeling transformations were applied to each media channel before modeling:</w:t>
      </w:r>
    </w:p>
    <w:p w14:paraId="40CAB926">
      <w:pPr>
        <w:pStyle w:val="16"/>
        <w:numPr>
          <w:ilvl w:val="0"/>
          <w:numId w:val="1"/>
        </w:numPr>
        <w:spacing w:after="100" w:line="280" w:lineRule="auto"/>
      </w:pPr>
      <w:r>
        <w:t>Adstock (carryover): each channel's "effective" spend in a given week is modeled as that week's raw spend plus a decayed portion of prior weeks' effective spend — reflecting that impact lingers rather than stopping immediately.</w:t>
      </w:r>
    </w:p>
    <w:p w14:paraId="03F756EB">
      <w:pPr>
        <w:pStyle w:val="16"/>
        <w:numPr>
          <w:ilvl w:val="0"/>
          <w:numId w:val="1"/>
        </w:numPr>
        <w:spacing w:after="100" w:line="280" w:lineRule="auto"/>
      </w:pPr>
      <w:r>
        <w:t>Saturation (diminishing returns): a log-based transform, scaled per channel, reflects that each additional dollar tends to produce a smaller marginal effect than the dollar before it.</w:t>
      </w:r>
    </w:p>
    <w:p w14:paraId="72F234A2">
      <w:pPr>
        <w:spacing w:after="180" w:line="300" w:lineRule="auto"/>
      </w:pPr>
      <w:r>
        <w:t>Starting decay rates were assigned by typical channel behavior rather than fit from scratch — broader-reach/brand channels (TV, OTT) were given longer assumed carryover, while direct-response channels (Google Ads) were given shorter carryover. This is a reasonable starting assumption, not a value estimated from this data — an important distinction revisited in the Limitations section.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3F36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shd w:val="clear" w:color="auto" w:fill="1F3864"/>
            <w:tcMar>
              <w:top w:w="80" w:type="dxa"/>
              <w:left w:w="120" w:type="dxa"/>
              <w:bottom w:w="80" w:type="dxa"/>
              <w:right w:w="120" w:type="dxa"/>
            </w:tcMar>
            <w:vAlign w:val="center"/>
          </w:tcPr>
          <w:p w14:paraId="3CFADEF6">
            <w:r>
              <w:rPr>
                <w:b/>
                <w:bCs/>
                <w:color w:val="FFFFFF"/>
                <w:sz w:val="20"/>
                <w:szCs w:val="20"/>
              </w:rPr>
              <w:t>Channel</w:t>
            </w:r>
          </w:p>
        </w:tc>
        <w:tc>
          <w:tcPr>
            <w:tcW w:w="4680" w:type="dxa"/>
            <w:shd w:val="clear" w:color="auto" w:fill="1F3864"/>
            <w:tcMar>
              <w:top w:w="80" w:type="dxa"/>
              <w:left w:w="120" w:type="dxa"/>
              <w:bottom w:w="80" w:type="dxa"/>
              <w:right w:w="120" w:type="dxa"/>
            </w:tcMar>
            <w:vAlign w:val="center"/>
          </w:tcPr>
          <w:p w14:paraId="050C0E57">
            <w:r>
              <w:rPr>
                <w:b/>
                <w:bCs/>
                <w:color w:val="FFFFFF"/>
                <w:sz w:val="20"/>
                <w:szCs w:val="20"/>
              </w:rPr>
              <w:t>Assumed Adstock Decay Rate</w:t>
            </w:r>
          </w:p>
        </w:tc>
      </w:tr>
      <w:tr w14:paraId="1A5D5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60" w:type="dxa"/>
              <w:left w:w="120" w:type="dxa"/>
              <w:bottom w:w="60" w:type="dxa"/>
              <w:right w:w="120" w:type="dxa"/>
            </w:tcMar>
            <w:vAlign w:val="center"/>
          </w:tcPr>
          <w:p w14:paraId="2A83D448">
            <w:r>
              <w:rPr>
                <w:sz w:val="20"/>
                <w:szCs w:val="20"/>
              </w:rPr>
              <w:t>TV</w:t>
            </w:r>
          </w:p>
        </w:tc>
        <w:tc>
          <w:tcPr>
            <w:tcW w:w="4680" w:type="dxa"/>
            <w:shd w:val="clear" w:color="auto" w:fill="FFFFFF"/>
            <w:tcMar>
              <w:top w:w="60" w:type="dxa"/>
              <w:left w:w="120" w:type="dxa"/>
              <w:bottom w:w="60" w:type="dxa"/>
              <w:right w:w="120" w:type="dxa"/>
            </w:tcMar>
            <w:vAlign w:val="center"/>
          </w:tcPr>
          <w:p w14:paraId="3771943E">
            <w:r>
              <w:rPr>
                <w:sz w:val="20"/>
                <w:szCs w:val="20"/>
              </w:rPr>
              <w:t>0.60</w:t>
            </w:r>
          </w:p>
        </w:tc>
      </w:tr>
      <w:tr w14:paraId="4D080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4F6F8"/>
            <w:tcMar>
              <w:top w:w="60" w:type="dxa"/>
              <w:left w:w="120" w:type="dxa"/>
              <w:bottom w:w="60" w:type="dxa"/>
              <w:right w:w="120" w:type="dxa"/>
            </w:tcMar>
            <w:vAlign w:val="center"/>
          </w:tcPr>
          <w:p w14:paraId="0D972D11">
            <w:r>
              <w:rPr>
                <w:sz w:val="20"/>
                <w:szCs w:val="20"/>
              </w:rPr>
              <w:t>OTT</w:t>
            </w:r>
          </w:p>
        </w:tc>
        <w:tc>
          <w:tcPr>
            <w:tcW w:w="4680" w:type="dxa"/>
            <w:shd w:val="clear" w:color="auto" w:fill="F4F6F8"/>
            <w:tcMar>
              <w:top w:w="60" w:type="dxa"/>
              <w:left w:w="120" w:type="dxa"/>
              <w:bottom w:w="60" w:type="dxa"/>
              <w:right w:w="120" w:type="dxa"/>
            </w:tcMar>
            <w:vAlign w:val="center"/>
          </w:tcPr>
          <w:p w14:paraId="783858AB">
            <w:r>
              <w:rPr>
                <w:sz w:val="20"/>
                <w:szCs w:val="20"/>
              </w:rPr>
              <w:t>0.60</w:t>
            </w:r>
          </w:p>
        </w:tc>
      </w:tr>
      <w:tr w14:paraId="61D3D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60" w:type="dxa"/>
              <w:left w:w="120" w:type="dxa"/>
              <w:bottom w:w="60" w:type="dxa"/>
              <w:right w:w="120" w:type="dxa"/>
            </w:tcMar>
            <w:vAlign w:val="center"/>
          </w:tcPr>
          <w:p w14:paraId="61DF797D">
            <w:r>
              <w:rPr>
                <w:sz w:val="20"/>
                <w:szCs w:val="20"/>
              </w:rPr>
              <w:t>Newspaper</w:t>
            </w:r>
          </w:p>
        </w:tc>
        <w:tc>
          <w:tcPr>
            <w:tcW w:w="4680" w:type="dxa"/>
            <w:shd w:val="clear" w:color="auto" w:fill="FFFFFF"/>
            <w:tcMar>
              <w:top w:w="60" w:type="dxa"/>
              <w:left w:w="120" w:type="dxa"/>
              <w:bottom w:w="60" w:type="dxa"/>
              <w:right w:w="120" w:type="dxa"/>
            </w:tcMar>
            <w:vAlign w:val="center"/>
          </w:tcPr>
          <w:p w14:paraId="6F486AD3">
            <w:r>
              <w:rPr>
                <w:sz w:val="20"/>
                <w:szCs w:val="20"/>
              </w:rPr>
              <w:t>0.50</w:t>
            </w:r>
          </w:p>
        </w:tc>
      </w:tr>
      <w:tr w14:paraId="3AAC4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4F6F8"/>
            <w:tcMar>
              <w:top w:w="60" w:type="dxa"/>
              <w:left w:w="120" w:type="dxa"/>
              <w:bottom w:w="60" w:type="dxa"/>
              <w:right w:w="120" w:type="dxa"/>
            </w:tcMar>
            <w:vAlign w:val="center"/>
          </w:tcPr>
          <w:p w14:paraId="10BDB59F">
            <w:r>
              <w:rPr>
                <w:sz w:val="20"/>
                <w:szCs w:val="20"/>
              </w:rPr>
              <w:t>YouTube</w:t>
            </w:r>
          </w:p>
        </w:tc>
        <w:tc>
          <w:tcPr>
            <w:tcW w:w="4680" w:type="dxa"/>
            <w:shd w:val="clear" w:color="auto" w:fill="F4F6F8"/>
            <w:tcMar>
              <w:top w:w="60" w:type="dxa"/>
              <w:left w:w="120" w:type="dxa"/>
              <w:bottom w:w="60" w:type="dxa"/>
              <w:right w:w="120" w:type="dxa"/>
            </w:tcMar>
            <w:vAlign w:val="center"/>
          </w:tcPr>
          <w:p w14:paraId="08A0037F">
            <w:r>
              <w:rPr>
                <w:sz w:val="20"/>
                <w:szCs w:val="20"/>
              </w:rPr>
              <w:t>0.40</w:t>
            </w:r>
          </w:p>
        </w:tc>
      </w:tr>
      <w:tr w14:paraId="6C7B6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60" w:type="dxa"/>
              <w:left w:w="120" w:type="dxa"/>
              <w:bottom w:w="60" w:type="dxa"/>
              <w:right w:w="120" w:type="dxa"/>
            </w:tcMar>
            <w:vAlign w:val="center"/>
          </w:tcPr>
          <w:p w14:paraId="20B6AAE6">
            <w:r>
              <w:rPr>
                <w:sz w:val="20"/>
                <w:szCs w:val="20"/>
              </w:rPr>
              <w:t>Instagram</w:t>
            </w:r>
          </w:p>
        </w:tc>
        <w:tc>
          <w:tcPr>
            <w:tcW w:w="4680" w:type="dxa"/>
            <w:shd w:val="clear" w:color="auto" w:fill="FFFFFF"/>
            <w:tcMar>
              <w:top w:w="60" w:type="dxa"/>
              <w:left w:w="120" w:type="dxa"/>
              <w:bottom w:w="60" w:type="dxa"/>
              <w:right w:w="120" w:type="dxa"/>
            </w:tcMar>
            <w:vAlign w:val="center"/>
          </w:tcPr>
          <w:p w14:paraId="7F0BEF1E">
            <w:r>
              <w:rPr>
                <w:sz w:val="20"/>
                <w:szCs w:val="20"/>
              </w:rPr>
              <w:t>0.30</w:t>
            </w:r>
          </w:p>
        </w:tc>
      </w:tr>
      <w:tr w14:paraId="52780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4F6F8"/>
            <w:tcMar>
              <w:top w:w="60" w:type="dxa"/>
              <w:left w:w="120" w:type="dxa"/>
              <w:bottom w:w="60" w:type="dxa"/>
              <w:right w:w="120" w:type="dxa"/>
            </w:tcMar>
            <w:vAlign w:val="center"/>
          </w:tcPr>
          <w:p w14:paraId="3C9530A0">
            <w:r>
              <w:rPr>
                <w:sz w:val="20"/>
                <w:szCs w:val="20"/>
              </w:rPr>
              <w:t>Influencer</w:t>
            </w:r>
          </w:p>
        </w:tc>
        <w:tc>
          <w:tcPr>
            <w:tcW w:w="4680" w:type="dxa"/>
            <w:shd w:val="clear" w:color="auto" w:fill="F4F6F8"/>
            <w:tcMar>
              <w:top w:w="60" w:type="dxa"/>
              <w:left w:w="120" w:type="dxa"/>
              <w:bottom w:w="60" w:type="dxa"/>
              <w:right w:w="120" w:type="dxa"/>
            </w:tcMar>
            <w:vAlign w:val="center"/>
          </w:tcPr>
          <w:p w14:paraId="5162800F">
            <w:r>
              <w:rPr>
                <w:sz w:val="20"/>
                <w:szCs w:val="20"/>
              </w:rPr>
              <w:t>0.30</w:t>
            </w:r>
          </w:p>
        </w:tc>
      </w:tr>
      <w:tr w14:paraId="37D7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60" w:type="dxa"/>
              <w:left w:w="120" w:type="dxa"/>
              <w:bottom w:w="60" w:type="dxa"/>
              <w:right w:w="120" w:type="dxa"/>
            </w:tcMar>
            <w:vAlign w:val="center"/>
          </w:tcPr>
          <w:p w14:paraId="2FCCC195">
            <w:r>
              <w:rPr>
                <w:sz w:val="20"/>
                <w:szCs w:val="20"/>
              </w:rPr>
              <w:t>Google Ads</w:t>
            </w:r>
          </w:p>
        </w:tc>
        <w:tc>
          <w:tcPr>
            <w:tcW w:w="4680" w:type="dxa"/>
            <w:shd w:val="clear" w:color="auto" w:fill="FFFFFF"/>
            <w:tcMar>
              <w:top w:w="60" w:type="dxa"/>
              <w:left w:w="120" w:type="dxa"/>
              <w:bottom w:w="60" w:type="dxa"/>
              <w:right w:w="120" w:type="dxa"/>
            </w:tcMar>
            <w:vAlign w:val="center"/>
          </w:tcPr>
          <w:p w14:paraId="1853FC5E">
            <w:r>
              <w:rPr>
                <w:sz w:val="20"/>
                <w:szCs w:val="20"/>
              </w:rPr>
              <w:t>0.20</w:t>
            </w:r>
          </w:p>
        </w:tc>
      </w:tr>
    </w:tbl>
    <w:p w14:paraId="67FE8C13">
      <w:pPr>
        <w:spacing w:after="200"/>
      </w:pPr>
    </w:p>
    <w:p w14:paraId="19C5BFAF">
      <w:pPr>
        <w:spacing w:after="180" w:line="300" w:lineRule="auto"/>
      </w:pPr>
      <w:r>
        <w:t>Additional model inputs included promotion type (one-hot encoded), the holiday flag, competitor spend, a linear time trend, and week-of-year seasonality terms — so the model has a fair chance to credit general growth or seasonal patterns correctly, rather than mistakenly crediting a media channel for them.</w:t>
      </w:r>
    </w:p>
    <w:p w14:paraId="31F8AA72">
      <w:r>
        <w:br w:type="page"/>
      </w:r>
    </w:p>
    <w:p w14:paraId="745021BD">
      <w:pPr>
        <w:pStyle w:val="2"/>
        <w:spacing w:before="360" w:after="200"/>
      </w:pPr>
      <w:r>
        <w:rPr>
          <w:b/>
          <w:bCs/>
          <w:color w:val="1F3864"/>
        </w:rPr>
        <w:t>Modeling</w:t>
      </w:r>
    </w:p>
    <w:p w14:paraId="4FD2D874">
      <w:pPr>
        <w:spacing w:after="180" w:line="300" w:lineRule="auto"/>
      </w:pPr>
      <w:r>
        <w:t>Ridge regression (linear regression with L2 regularization) was selected as the baseline model, ahead of a more advanced Bayesian marketing mix model.</w:t>
      </w:r>
    </w:p>
    <w:p w14:paraId="165D363F">
      <w:pPr>
        <w:pStyle w:val="16"/>
        <w:numPr>
          <w:ilvl w:val="0"/>
          <w:numId w:val="1"/>
        </w:numPr>
        <w:spacing w:after="100" w:line="280" w:lineRule="auto"/>
      </w:pPr>
      <w:r>
        <w:t>With roughly 15+ engineered features and 206 observations, an unregularized regression risks overfitting — Ridge's penalty shrinks coefficients to reduce that risk.</w:t>
      </w:r>
    </w:p>
    <w:p w14:paraId="33621F82">
      <w:pPr>
        <w:pStyle w:val="16"/>
        <w:numPr>
          <w:ilvl w:val="0"/>
          <w:numId w:val="1"/>
        </w:numPr>
        <w:spacing w:after="100" w:line="280" w:lineRule="auto"/>
      </w:pPr>
      <w:r>
        <w:t>Ridge is fast and interpretable, useful for sanity-checking direction and rough magnitude of channel effects before investing in a heavier model.</w:t>
      </w:r>
    </w:p>
    <w:p w14:paraId="2C733413">
      <w:pPr>
        <w:pStyle w:val="16"/>
        <w:numPr>
          <w:ilvl w:val="0"/>
          <w:numId w:val="1"/>
        </w:numPr>
        <w:spacing w:after="100" w:line="280" w:lineRule="auto"/>
      </w:pPr>
      <w:r>
        <w:t>Time-series cross-validation (a rolling-window split, not a random shuffle) was used to select the regularization strength, since shuffling weeks randomly would let the model "see the future" during validation.</w:t>
      </w:r>
    </w:p>
    <w:p w14:paraId="05F38C22">
      <w:pPr>
        <w:pStyle w:val="3"/>
        <w:spacing w:before="240" w:after="120"/>
      </w:pPr>
      <w:r>
        <w:rPr>
          <w:b/>
          <w:bCs/>
          <w:color w:val="1F3864"/>
        </w:rPr>
        <w:t>Representative Code</w:t>
      </w:r>
    </w:p>
    <w:p w14:paraId="24D09816">
      <w:pPr>
        <w:spacing w:after="180" w:line="300" w:lineRule="auto"/>
      </w:pPr>
      <w:r>
        <w:t>The two core transformations — adstock and the Ridge fit with time-aware validation — are shown below.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9976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200" w:type="dxa"/>
              <w:left w:w="200" w:type="dxa"/>
              <w:bottom w:w="200" w:type="dxa"/>
              <w:right w:w="200" w:type="dxa"/>
            </w:tcMar>
          </w:tcPr>
          <w:p w14:paraId="6F84A095">
            <w:pPr>
              <w:spacing w:after="0"/>
            </w:pPr>
            <w:r>
              <w:rPr>
                <w:rFonts w:ascii="Consolas" w:hAnsi="Consolas" w:eastAsia="Consolas" w:cs="Consolas"/>
                <w:color w:val="D4D4D4"/>
                <w:sz w:val="18"/>
                <w:szCs w:val="18"/>
              </w:rPr>
              <w:t>def adstock_transform(x, decay_rate=0.5):</w:t>
            </w:r>
          </w:p>
          <w:p w14:paraId="6402988B">
            <w:pPr>
              <w:spacing w:after="0"/>
            </w:pPr>
            <w:r>
              <w:rPr>
                <w:rFonts w:ascii="Consolas" w:hAnsi="Consolas" w:eastAsia="Consolas" w:cs="Consolas"/>
                <w:color w:val="D4D4D4"/>
                <w:sz w:val="18"/>
                <w:szCs w:val="18"/>
              </w:rPr>
              <w:t xml:space="preserve">    adstocked = np.zeros_like(x, dtype=float)</w:t>
            </w:r>
          </w:p>
          <w:p w14:paraId="26D1CA0F">
            <w:pPr>
              <w:spacing w:after="0"/>
            </w:pPr>
            <w:r>
              <w:rPr>
                <w:rFonts w:ascii="Consolas" w:hAnsi="Consolas" w:eastAsia="Consolas" w:cs="Consolas"/>
                <w:color w:val="D4D4D4"/>
                <w:sz w:val="18"/>
                <w:szCs w:val="18"/>
              </w:rPr>
              <w:t xml:space="preserve">    adstocked[0] = x[0]</w:t>
            </w:r>
          </w:p>
          <w:p w14:paraId="6EFDB1AF">
            <w:pPr>
              <w:spacing w:after="0"/>
            </w:pPr>
            <w:r>
              <w:rPr>
                <w:rFonts w:ascii="Consolas" w:hAnsi="Consolas" w:eastAsia="Consolas" w:cs="Consolas"/>
                <w:color w:val="D4D4D4"/>
                <w:sz w:val="18"/>
                <w:szCs w:val="18"/>
              </w:rPr>
              <w:t xml:space="preserve">    for t in range(1, len(x)):</w:t>
            </w:r>
          </w:p>
          <w:p w14:paraId="79170AD0">
            <w:pPr>
              <w:spacing w:after="0"/>
            </w:pPr>
            <w:r>
              <w:rPr>
                <w:rFonts w:ascii="Consolas" w:hAnsi="Consolas" w:eastAsia="Consolas" w:cs="Consolas"/>
                <w:color w:val="D4D4D4"/>
                <w:sz w:val="18"/>
                <w:szCs w:val="18"/>
              </w:rPr>
              <w:t xml:space="preserve">        adstocked[t] = x[t] + decay_rate * adstocked[t - 1]</w:t>
            </w:r>
          </w:p>
          <w:p w14:paraId="1E953629">
            <w:pPr>
              <w:spacing w:after="0"/>
            </w:pPr>
            <w:r>
              <w:rPr>
                <w:rFonts w:ascii="Consolas" w:hAnsi="Consolas" w:eastAsia="Consolas" w:cs="Consolas"/>
                <w:color w:val="D4D4D4"/>
                <w:sz w:val="18"/>
                <w:szCs w:val="18"/>
              </w:rPr>
              <w:t xml:space="preserve">    return adstocked</w:t>
            </w:r>
          </w:p>
          <w:p w14:paraId="4F676FAC">
            <w:pPr>
              <w:spacing w:after="0"/>
            </w:pPr>
            <w:r>
              <w:rPr>
                <w:rFonts w:ascii="Consolas" w:hAnsi="Consolas" w:eastAsia="Consolas" w:cs="Consolas"/>
                <w:color w:val="D4D4D4"/>
                <w:sz w:val="18"/>
                <w:szCs w:val="18"/>
              </w:rPr>
              <w:t xml:space="preserve"> </w:t>
            </w:r>
          </w:p>
          <w:p w14:paraId="52B49818">
            <w:pPr>
              <w:spacing w:after="0"/>
            </w:pPr>
            <w:r>
              <w:rPr>
                <w:rFonts w:ascii="Consolas" w:hAnsi="Consolas" w:eastAsia="Consolas" w:cs="Consolas"/>
                <w:color w:val="D4D4D4"/>
                <w:sz w:val="18"/>
                <w:szCs w:val="18"/>
              </w:rPr>
              <w:t>def saturation_transform(x, alpha=1.0):</w:t>
            </w:r>
          </w:p>
          <w:p w14:paraId="49FB6C3D">
            <w:pPr>
              <w:spacing w:after="0"/>
            </w:pPr>
            <w:r>
              <w:rPr>
                <w:rFonts w:ascii="Consolas" w:hAnsi="Consolas" w:eastAsia="Consolas" w:cs="Consolas"/>
                <w:color w:val="D4D4D4"/>
                <w:sz w:val="18"/>
                <w:szCs w:val="18"/>
              </w:rPr>
              <w:t xml:space="preserve">    return np.log1p(alpha * x)</w:t>
            </w:r>
          </w:p>
          <w:p w14:paraId="25E08DB8">
            <w:pPr>
              <w:spacing w:after="0"/>
            </w:pPr>
            <w:r>
              <w:rPr>
                <w:rFonts w:ascii="Consolas" w:hAnsi="Consolas" w:eastAsia="Consolas" w:cs="Consolas"/>
                <w:color w:val="D4D4D4"/>
                <w:sz w:val="18"/>
                <w:szCs w:val="18"/>
              </w:rPr>
              <w:t xml:space="preserve"> </w:t>
            </w:r>
          </w:p>
          <w:p w14:paraId="36CB4A83">
            <w:pPr>
              <w:spacing w:after="0"/>
            </w:pPr>
            <w:r>
              <w:rPr>
                <w:rFonts w:ascii="Consolas" w:hAnsi="Consolas" w:eastAsia="Consolas" w:cs="Consolas"/>
                <w:color w:val="D4D4D4"/>
                <w:sz w:val="18"/>
                <w:szCs w:val="18"/>
              </w:rPr>
              <w:t>tscv = TimeSeriesSplit(n_splits=5)</w:t>
            </w:r>
          </w:p>
          <w:p w14:paraId="7ABA5648">
            <w:pPr>
              <w:spacing w:after="0"/>
            </w:pPr>
            <w:r>
              <w:rPr>
                <w:rFonts w:ascii="Consolas" w:hAnsi="Consolas" w:eastAsia="Consolas" w:cs="Consolas"/>
                <w:color w:val="D4D4D4"/>
                <w:sz w:val="18"/>
                <w:szCs w:val="18"/>
              </w:rPr>
              <w:t>grid = GridSearchCV(Ridge(), {'alpha': np.logspace(-2, 3, 30)},</w:t>
            </w:r>
          </w:p>
          <w:p w14:paraId="235A2EDC">
            <w:pPr>
              <w:spacing w:after="0"/>
            </w:pPr>
            <w:r>
              <w:rPr>
                <w:rFonts w:ascii="Consolas" w:hAnsi="Consolas" w:eastAsia="Consolas" w:cs="Consolas"/>
                <w:color w:val="D4D4D4"/>
                <w:sz w:val="18"/>
                <w:szCs w:val="18"/>
              </w:rPr>
              <w:t xml:space="preserve">                     cv=tscv, scoring='r2', n_jobs=-1)</w:t>
            </w:r>
          </w:p>
          <w:p w14:paraId="78F24CD3">
            <w:pPr>
              <w:spacing w:after="0"/>
            </w:pPr>
            <w:r>
              <w:rPr>
                <w:rFonts w:ascii="Consolas" w:hAnsi="Consolas" w:eastAsia="Consolas" w:cs="Consolas"/>
                <w:color w:val="D4D4D4"/>
                <w:sz w:val="18"/>
                <w:szCs w:val="18"/>
              </w:rPr>
              <w:t>grid.fit(X_scaled, y)</w:t>
            </w:r>
          </w:p>
          <w:p w14:paraId="2764E0B5">
            <w:pPr>
              <w:spacing w:after="0"/>
            </w:pPr>
            <w:r>
              <w:rPr>
                <w:rFonts w:ascii="Consolas" w:hAnsi="Consolas" w:eastAsia="Consolas" w:cs="Consolas"/>
                <w:color w:val="D4D4D4"/>
                <w:sz w:val="18"/>
                <w:szCs w:val="18"/>
              </w:rPr>
              <w:t>best_model = grid.best_estimator_</w:t>
            </w:r>
          </w:p>
        </w:tc>
      </w:tr>
    </w:tbl>
    <w:p w14:paraId="1E862B9C">
      <w:pPr>
        <w:spacing w:after="180" w:line="300" w:lineRule="auto"/>
      </w:pPr>
      <w:r>
        <w:t>The intended end-state for this project is a Bayesian MMM (e.g., PyMC-Marketing), which would estimate the adstock and saturation parameters directly from the data rather than assuming them, and produce uncertainty ranges around each channel's estimated impact. The Ridge model here is a stepping stone toward that, not the final word.</w:t>
      </w:r>
    </w:p>
    <w:p w14:paraId="614013D2">
      <w:r>
        <w:br w:type="page"/>
      </w:r>
    </w:p>
    <w:p w14:paraId="68D7B47B">
      <w:pPr>
        <w:pStyle w:val="2"/>
        <w:spacing w:before="360" w:after="200"/>
      </w:pPr>
      <w:r>
        <w:rPr>
          <w:b/>
          <w:bCs/>
          <w:color w:val="1F3864"/>
        </w:rPr>
        <w:t>Results</w:t>
      </w:r>
    </w:p>
    <w:p w14:paraId="5C77B891">
      <w:pPr>
        <w:pStyle w:val="3"/>
        <w:spacing w:before="240" w:after="120"/>
      </w:pPr>
      <w:r>
        <w:rPr>
          <w:b/>
          <w:bCs/>
          <w:color w:val="1F3864"/>
        </w:rPr>
        <w:t>Model Fit: Actual vs. Predicted Sales</w:t>
      </w:r>
    </w:p>
    <w:p w14:paraId="54F6FB11">
      <w:pPr>
        <w:spacing w:before="200"/>
        <w:jc w:val="center"/>
      </w:pPr>
      <w:r>
        <w:drawing>
          <wp:inline distT="0" distB="0" distL="0" distR="0">
            <wp:extent cx="5334000" cy="2219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334000" cy="2219325"/>
                    </a:xfrm>
                    <a:prstGeom prst="rect">
                      <a:avLst/>
                    </a:prstGeom>
                  </pic:spPr>
                </pic:pic>
              </a:graphicData>
            </a:graphic>
          </wp:inline>
        </w:drawing>
      </w:r>
    </w:p>
    <w:p w14:paraId="367572E4">
      <w:pPr>
        <w:spacing w:before="80" w:after="300"/>
        <w:jc w:val="center"/>
      </w:pPr>
      <w:r>
        <w:rPr>
          <w:i/>
          <w:iCs/>
          <w:color w:val="595959"/>
          <w:sz w:val="20"/>
          <w:szCs w:val="20"/>
        </w:rPr>
        <w:t>Figure 6. Actual vs. predicted weekly sales, full history.</w:t>
      </w:r>
    </w:p>
    <w:p w14:paraId="15168477">
      <w:pPr>
        <w:spacing w:after="180" w:line="300" w:lineRule="auto"/>
      </w:pPr>
      <w:r>
        <w:t>The model tracks the general oscillating pattern of sales closely across most of the period. Two limitations stand out: a single extreme spike (~$4.34M in mid-2022) is substantially under-predicted, and several sharp troughs (dropping to ~$1.2–1.4M) are also under-captured, with predictions staying noticeably higher in those same weeks.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60"/>
      </w:tblGrid>
      <w:tr w14:paraId="7BF33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3864" w:sz="4" w:space="0"/>
              <w:left w:val="single" w:color="1F3864" w:sz="4" w:space="0"/>
              <w:bottom w:val="single" w:color="1F3864" w:sz="4" w:space="0"/>
              <w:right w:val="single" w:color="1F3864" w:sz="4" w:space="0"/>
            </w:tcBorders>
            <w:shd w:val="clear" w:color="auto" w:fill="EDF2F8"/>
            <w:tcMar>
              <w:top w:w="150" w:type="dxa"/>
              <w:left w:w="200" w:type="dxa"/>
              <w:bottom w:w="150" w:type="dxa"/>
              <w:right w:w="200" w:type="dxa"/>
            </w:tcMar>
          </w:tcPr>
          <w:p w14:paraId="735C82F3">
            <w:pPr>
              <w:spacing w:after="80"/>
            </w:pPr>
            <w:r>
              <w:rPr>
                <w:b/>
                <w:bCs/>
                <w:color w:val="1F3864"/>
              </w:rPr>
              <w:t>What's not yet available</w:t>
            </w:r>
          </w:p>
          <w:p w14:paraId="1322E30D">
            <w:pPr>
              <w:spacing w:after="0" w:line="280" w:lineRule="auto"/>
            </w:pPr>
            <w:r>
              <w:t>Standard accuracy metrics — R² (variation explained), MAE (average dollar error), and MAPE (average percentage error) — were not included in the output reviewed for this report. Without them, this report does not state a precise "how accurate is this model" number. These should be obtained before the model informs high-stakes budget decisions.</w:t>
            </w:r>
          </w:p>
        </w:tc>
      </w:tr>
    </w:tbl>
    <w:p w14:paraId="3A9DB1A3">
      <w:pPr>
        <w:spacing w:after="200"/>
      </w:pPr>
    </w:p>
    <w:p w14:paraId="50B73D0C">
      <w:pPr>
        <w:pStyle w:val="3"/>
        <w:spacing w:before="240" w:after="120"/>
      </w:pPr>
      <w:r>
        <w:rPr>
          <w:b/>
          <w:bCs/>
          <w:color w:val="1F3864"/>
        </w:rPr>
        <w:t>Channel Impact on Sales</w:t>
      </w:r>
    </w:p>
    <w:p w14:paraId="0F7126E3">
      <w:pPr>
        <w:spacing w:before="200"/>
        <w:jc w:val="center"/>
      </w:pPr>
      <w:r>
        <w:drawing>
          <wp:inline distT="0" distB="0" distL="0" distR="0">
            <wp:extent cx="4572000" cy="3552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4572000" cy="3552825"/>
                    </a:xfrm>
                    <a:prstGeom prst="rect">
                      <a:avLst/>
                    </a:prstGeom>
                  </pic:spPr>
                </pic:pic>
              </a:graphicData>
            </a:graphic>
          </wp:inline>
        </w:drawing>
      </w:r>
    </w:p>
    <w:p w14:paraId="0D954897">
      <w:pPr>
        <w:spacing w:before="80" w:after="300"/>
        <w:jc w:val="center"/>
      </w:pPr>
      <w:r>
        <w:rPr>
          <w:i/>
          <w:iCs/>
          <w:color w:val="595959"/>
          <w:sz w:val="20"/>
          <w:szCs w:val="20"/>
        </w:rPr>
        <w:t>Figure 7. Estimated standardized impact of each driver on weekly sales.</w:t>
      </w:r>
    </w:p>
    <w:p w14:paraId="3913AB01">
      <w:pPr>
        <w:spacing w:after="180" w:line="300" w:lineRule="auto"/>
      </w:pPr>
      <w:r>
        <w:t>Every media channel came out positive — no channel's coefficient suggests it is actively hurting sales. Google Ads ($295,955) and Instagram ($276,133) are the two largest overall drivers, followed by OTT, Influencer, TV, Newspaper, and YouTube.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60"/>
      </w:tblGrid>
      <w:tr w14:paraId="1E36B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1F3864" w:sz="4" w:space="0"/>
              <w:left w:val="single" w:color="1F3864" w:sz="4" w:space="0"/>
              <w:bottom w:val="single" w:color="1F3864" w:sz="4" w:space="0"/>
              <w:right w:val="single" w:color="1F3864" w:sz="4" w:space="0"/>
            </w:tcBorders>
            <w:shd w:val="clear" w:color="auto" w:fill="EDF2F8"/>
            <w:tcMar>
              <w:top w:w="150" w:type="dxa"/>
              <w:left w:w="200" w:type="dxa"/>
              <w:bottom w:w="150" w:type="dxa"/>
              <w:right w:w="200" w:type="dxa"/>
            </w:tcMar>
          </w:tcPr>
          <w:p w14:paraId="7DF4C063">
            <w:pPr>
              <w:spacing w:after="80"/>
            </w:pPr>
            <w:r>
              <w:rPr>
                <w:b/>
                <w:bCs/>
                <w:color w:val="1F3864"/>
              </w:rPr>
              <w:t>A genuine surprise: BOGO beats Coupons once the model controls for other factors</w:t>
            </w:r>
          </w:p>
          <w:p w14:paraId="22C6838D">
            <w:pPr>
              <w:spacing w:after="0" w:line="280" w:lineRule="auto"/>
            </w:pPr>
            <w:r>
              <w:t>In the raw data (Figure 3), Coupons had the highest average sales. Once the model accounts for media spend, competitor activity, seasonality, and trend, BOGO comes out ahead of every other promotion type, including Coupons. This suggests Coupons' apparent strength was likely riding on other favorable conditions — like higher concurrent media spend — rather than the promotion itself.</w:t>
            </w:r>
          </w:p>
        </w:tc>
      </w:tr>
    </w:tbl>
    <w:p w14:paraId="205A4B68">
      <w:pPr>
        <w:spacing w:after="200"/>
      </w:pPr>
    </w:p>
    <w:p w14:paraId="7D149A5C">
      <w:pPr>
        <w:pStyle w:val="3"/>
        <w:spacing w:before="240" w:after="120"/>
      </w:pPr>
      <w:r>
        <w:rPr>
          <w:b/>
          <w:bCs/>
          <w:color w:val="1F3864"/>
        </w:rPr>
        <w:t>Scenario Analysis: Doubling Spend per Channel</w:t>
      </w:r>
    </w:p>
    <w:p w14:paraId="6C1EFFA5">
      <w:pPr>
        <w:spacing w:before="200"/>
        <w:jc w:val="center"/>
      </w:pPr>
      <w:r>
        <w:drawing>
          <wp:inline distT="0" distB="0" distL="0" distR="0">
            <wp:extent cx="4572000" cy="285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4572000" cy="2857500"/>
                    </a:xfrm>
                    <a:prstGeom prst="rect">
                      <a:avLst/>
                    </a:prstGeom>
                  </pic:spPr>
                </pic:pic>
              </a:graphicData>
            </a:graphic>
          </wp:inline>
        </w:drawing>
      </w:r>
    </w:p>
    <w:p w14:paraId="64176BEB">
      <w:pPr>
        <w:spacing w:before="80" w:after="300"/>
        <w:jc w:val="center"/>
      </w:pPr>
      <w:r>
        <w:rPr>
          <w:i/>
          <w:iCs/>
          <w:color w:val="595959"/>
          <w:sz w:val="20"/>
          <w:szCs w:val="20"/>
        </w:rPr>
        <w:t>Figure 8. Estimated return (lift ÷ extra spend) if spend were doubled, by channel.</w:t>
      </w:r>
    </w:p>
    <w:p w14:paraId="4DE932BA">
      <w:pPr>
        <w:spacing w:after="180" w:line="300" w:lineRule="auto"/>
      </w:pPr>
      <w:r>
        <w:t>Two different rankings emerge depending on the question asked. Ranked by total dollar impact, Instagram, Google Ads, and OTT stand out. Ranked by efficiency, Newspaper is dramatically ahead of every other channel (13.48x) — its total lift is smaller in absolute dollars simply because its current budget is tiny, but pound-for-pound the model suggests it is the most under-invested channel by a wide margin.</w:t>
      </w:r>
    </w:p>
    <w:p w14:paraId="32E764DB">
      <w:pPr>
        <w:pStyle w:val="3"/>
        <w:spacing w:before="240" w:after="120"/>
      </w:pPr>
      <w:r>
        <w:rPr>
          <w:b/>
          <w:bCs/>
          <w:color w:val="1F3864"/>
        </w:rPr>
        <w:t>Saturation Headroom</w:t>
      </w:r>
    </w:p>
    <w:p w14:paraId="5FE2E1A0">
      <w:pPr>
        <w:spacing w:before="200"/>
        <w:jc w:val="center"/>
      </w:pPr>
      <w:r>
        <w:drawing>
          <wp:inline distT="0" distB="0" distL="0" distR="0">
            <wp:extent cx="4572000" cy="2857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4572000" cy="2857500"/>
                    </a:xfrm>
                    <a:prstGeom prst="rect">
                      <a:avLst/>
                    </a:prstGeom>
                  </pic:spPr>
                </pic:pic>
              </a:graphicData>
            </a:graphic>
          </wp:inline>
        </w:drawing>
      </w:r>
    </w:p>
    <w:p w14:paraId="7AC60681">
      <w:pPr>
        <w:spacing w:before="80" w:after="300"/>
        <w:jc w:val="center"/>
      </w:pPr>
      <w:r>
        <w:rPr>
          <w:i/>
          <w:iCs/>
          <w:color w:val="595959"/>
          <w:sz w:val="20"/>
          <w:szCs w:val="20"/>
        </w:rPr>
        <w:t>Figure 9. Current spend as a percentage of each channel's estimated saturation threshold.</w:t>
      </w:r>
    </w:p>
    <w:p w14:paraId="48A5655E">
      <w:pPr>
        <w:spacing w:after="180" w:line="300" w:lineRule="auto"/>
      </w:pPr>
      <w:r>
        <w:t>Every channel is currently spending well below its estimated saturation point (roughly 20–24% of threshold across the board), suggesting room to grow before hitting diminishing returns.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60"/>
      </w:tblGrid>
      <w:tr w14:paraId="55A1A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3864" w:sz="4" w:space="0"/>
              <w:left w:val="single" w:color="1F3864" w:sz="4" w:space="0"/>
              <w:bottom w:val="single" w:color="1F3864" w:sz="4" w:space="0"/>
              <w:right w:val="single" w:color="1F3864" w:sz="4" w:space="0"/>
            </w:tcBorders>
            <w:shd w:val="clear" w:color="auto" w:fill="EDF2F8"/>
            <w:tcMar>
              <w:top w:w="150" w:type="dxa"/>
              <w:left w:w="200" w:type="dxa"/>
              <w:bottom w:w="150" w:type="dxa"/>
              <w:right w:w="200" w:type="dxa"/>
            </w:tcMar>
          </w:tcPr>
          <w:p w14:paraId="753DE59F">
            <w:pPr>
              <w:spacing w:after="80"/>
            </w:pPr>
            <w:r>
              <w:rPr>
                <w:b/>
                <w:bCs/>
                <w:color w:val="1F3864"/>
              </w:rPr>
              <w:t>An important caveat</w:t>
            </w:r>
          </w:p>
          <w:p w14:paraId="12C5B777">
            <w:pPr>
              <w:spacing w:after="0" w:line="280" w:lineRule="auto"/>
            </w:pPr>
            <w:r>
              <w:t>The near-identical 20–24% headroom across all seven channels may partly reflect the mathematical structure of the saturation transform (each channel scaled relative to its own spend variability) rather than an independently discovered, channel-specific pattern. This finding is a hypothesis worth testing with real incremental spend, not a settled fact.</w:t>
            </w:r>
          </w:p>
        </w:tc>
      </w:tr>
    </w:tbl>
    <w:p w14:paraId="147E93BE">
      <w:r>
        <w:br w:type="page"/>
      </w:r>
    </w:p>
    <w:p w14:paraId="59B1DD94">
      <w:pPr>
        <w:pStyle w:val="2"/>
        <w:spacing w:before="360" w:after="200"/>
      </w:pPr>
      <w:r>
        <w:rPr>
          <w:b/>
          <w:bCs/>
          <w:color w:val="1F3864"/>
        </w:rPr>
        <w:t>Business Recommendations</w:t>
      </w:r>
    </w:p>
    <w:p w14:paraId="1CDFFF27">
      <w:pPr>
        <w:pStyle w:val="16"/>
        <w:numPr>
          <w:ilvl w:val="0"/>
          <w:numId w:val="1"/>
        </w:numPr>
        <w:spacing w:after="100" w:line="280" w:lineRule="auto"/>
      </w:pPr>
      <w:r>
        <w:rPr>
          <w:b w:val="0"/>
          <w:bCs w:val="0"/>
        </w:rPr>
        <w:t>Test a modest, incremental increase in Newspaper spend first. Its estimated ROI (13.48x) is far ahead of every other channel, and its small current budget makes even a meaningful percentage increase a low-risk test.</w:t>
      </w:r>
    </w:p>
    <w:p w14:paraId="6E6CC616">
      <w:pPr>
        <w:pStyle w:val="16"/>
        <w:numPr>
          <w:ilvl w:val="0"/>
          <w:numId w:val="1"/>
        </w:numPr>
        <w:spacing w:after="100" w:line="280" w:lineRule="auto"/>
      </w:pPr>
      <w:r>
        <w:t>Continue investing in Instagram and Google Ads as the primary volume drivers, but validate the saturation-based "room to grow" estimate with a real incremental spend test rather than trusting it at face value.</w:t>
      </w:r>
    </w:p>
    <w:p w14:paraId="23307E8D">
      <w:pPr>
        <w:pStyle w:val="16"/>
        <w:numPr>
          <w:ilvl w:val="0"/>
          <w:numId w:val="1"/>
        </w:numPr>
        <w:spacing w:after="100" w:line="280" w:lineRule="auto"/>
      </w:pPr>
      <w:r>
        <w:t>Re-examine the Coupons promotion strategy. The controlled model suggests its raw performance may be substantially explained by other concurrent factors, while BOGO shows the strongest standalone effect — worth validating directly, e.g., running BOGO and Coupons in otherwise-matched weeks.</w:t>
      </w:r>
    </w:p>
    <w:p w14:paraId="464E90EA">
      <w:pPr>
        <w:pStyle w:val="16"/>
        <w:numPr>
          <w:ilvl w:val="0"/>
          <w:numId w:val="1"/>
        </w:numPr>
        <w:spacing w:after="100" w:line="280" w:lineRule="auto"/>
      </w:pPr>
      <w:r>
        <w:t>Treat "every channel has headroom" as a hypothesis, not a green light for a broad spend increase across all channels at once. Test one or two channels incrementally — Newspaper is the clear first candidate.</w:t>
      </w:r>
    </w:p>
    <w:p w14:paraId="355E9A1F">
      <w:pPr>
        <w:pStyle w:val="16"/>
        <w:numPr>
          <w:ilvl w:val="0"/>
          <w:numId w:val="1"/>
        </w:numPr>
        <w:spacing w:after="100" w:line="280" w:lineRule="auto"/>
      </w:pPr>
      <w:r>
        <w:t>Obtain the model's accuracy metrics (R², MAE, MAPE) before using it for a formal budget-allocation decision. The fit is reasonably strong for typical weeks but visibly weaker at the extremes.</w:t>
      </w:r>
    </w:p>
    <w:p w14:paraId="7E369052">
      <w:pPr>
        <w:pStyle w:val="16"/>
        <w:numPr>
          <w:ilvl w:val="0"/>
          <w:numId w:val="1"/>
        </w:numPr>
        <w:spacing w:after="100" w:line="280" w:lineRule="auto"/>
      </w:pPr>
      <w:r>
        <w:t>Be cautious drawing any holiday-specific conclusion given the small sample of only 12 holiday weeks.</w:t>
      </w:r>
    </w:p>
    <w:p w14:paraId="4DE16F90">
      <w:r>
        <w:br w:type="page"/>
      </w:r>
    </w:p>
    <w:p w14:paraId="096ADE7C">
      <w:pPr>
        <w:pStyle w:val="2"/>
        <w:spacing w:before="360" w:after="200"/>
      </w:pPr>
      <w:r>
        <w:rPr>
          <w:b/>
          <w:bCs/>
          <w:color w:val="1F3864"/>
        </w:rPr>
        <w:t>Limitations</w:t>
      </w:r>
    </w:p>
    <w:p w14:paraId="653724EB">
      <w:pPr>
        <w:pStyle w:val="16"/>
        <w:numPr>
          <w:ilvl w:val="0"/>
          <w:numId w:val="1"/>
        </w:numPr>
        <w:spacing w:after="100" w:line="280" w:lineRule="auto"/>
      </w:pPr>
      <w:r>
        <w:t>Modest sample size (206 usable weeks) relative to the number of channels and engineered features, which limits statistical power and motivated the choice of a regularized model.</w:t>
      </w:r>
    </w:p>
    <w:p w14:paraId="65E1177B">
      <w:pPr>
        <w:pStyle w:val="16"/>
        <w:numPr>
          <w:ilvl w:val="0"/>
          <w:numId w:val="1"/>
        </w:numPr>
        <w:spacing w:after="100" w:line="280" w:lineRule="auto"/>
      </w:pPr>
      <w:r>
        <w:t>The zero-fill assumption for missing media spend is a reasoned judgment call, not independently confirmed against the business's actual campaign calendars.</w:t>
      </w:r>
    </w:p>
    <w:p w14:paraId="43C6BADF">
      <w:pPr>
        <w:pStyle w:val="16"/>
        <w:numPr>
          <w:ilvl w:val="0"/>
          <w:numId w:val="1"/>
        </w:numPr>
        <w:spacing w:after="100" w:line="280" w:lineRule="auto"/>
      </w:pPr>
      <w:r>
        <w:t>Adstock decay rates and saturation scaling were assigned using typical channel behavior, not estimated from this data — the single biggest gap between this baseline and a production-ready model.</w:t>
      </w:r>
    </w:p>
    <w:p w14:paraId="4EEFDA50">
      <w:pPr>
        <w:pStyle w:val="16"/>
        <w:numPr>
          <w:ilvl w:val="0"/>
          <w:numId w:val="1"/>
        </w:numPr>
        <w:spacing w:after="100" w:line="280" w:lineRule="auto"/>
      </w:pPr>
      <w:r>
        <w:t>Standard accuracy metrics (R², MAE, MAPE) were not part of the reviewed output and are not stated in this report.</w:t>
      </w:r>
    </w:p>
    <w:p w14:paraId="794FD2BC">
      <w:pPr>
        <w:pStyle w:val="16"/>
        <w:numPr>
          <w:ilvl w:val="0"/>
          <w:numId w:val="1"/>
        </w:numPr>
        <w:spacing w:after="100" w:line="280" w:lineRule="auto"/>
      </w:pPr>
      <w:r>
        <w:t>The near-identical saturation headroom across all seven channels may partly be a mathematical artifact of the transform's fixed structure rather than an independently discovered pattern.</w:t>
      </w:r>
    </w:p>
    <w:p w14:paraId="20CCA3F8">
      <w:pPr>
        <w:pStyle w:val="16"/>
        <w:numPr>
          <w:ilvl w:val="0"/>
          <w:numId w:val="1"/>
        </w:numPr>
        <w:spacing w:after="100" w:line="280" w:lineRule="auto"/>
      </w:pPr>
      <w:r>
        <w:t>Correlation, even after transformation, does not establish causality — the Coupons/BOGO reversal is a model-based inference, not a controlled experiment.</w:t>
      </w:r>
    </w:p>
    <w:p w14:paraId="1A637029">
      <w:r>
        <w:br w:type="page"/>
      </w:r>
    </w:p>
    <w:p w14:paraId="65E9874A">
      <w:pPr>
        <w:pStyle w:val="2"/>
        <w:spacing w:before="360" w:after="200"/>
      </w:pPr>
      <w:r>
        <w:rPr>
          <w:b/>
          <w:bCs/>
          <w:color w:val="1F3864"/>
        </w:rPr>
        <w:t>Appendix</w:t>
      </w:r>
    </w:p>
    <w:p w14:paraId="3AA3533A">
      <w:pPr>
        <w:pStyle w:val="3"/>
        <w:spacing w:before="240" w:after="120"/>
      </w:pPr>
      <w:r>
        <w:rPr>
          <w:b/>
          <w:bCs/>
          <w:color w:val="1F3864"/>
        </w:rPr>
        <w:t>A. Full Ridge Coefficient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7B74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shd w:val="clear" w:color="auto" w:fill="1F3864"/>
            <w:tcMar>
              <w:top w:w="80" w:type="dxa"/>
              <w:left w:w="120" w:type="dxa"/>
              <w:bottom w:w="80" w:type="dxa"/>
              <w:right w:w="120" w:type="dxa"/>
            </w:tcMar>
            <w:vAlign w:val="center"/>
          </w:tcPr>
          <w:p w14:paraId="0D349E51">
            <w:r>
              <w:rPr>
                <w:b/>
                <w:bCs/>
                <w:color w:val="FFFFFF"/>
                <w:sz w:val="20"/>
                <w:szCs w:val="20"/>
              </w:rPr>
              <w:t>Driver</w:t>
            </w:r>
          </w:p>
        </w:tc>
        <w:tc>
          <w:tcPr>
            <w:tcW w:w="4680" w:type="dxa"/>
            <w:shd w:val="clear" w:color="auto" w:fill="1F3864"/>
            <w:tcMar>
              <w:top w:w="80" w:type="dxa"/>
              <w:left w:w="120" w:type="dxa"/>
              <w:bottom w:w="80" w:type="dxa"/>
              <w:right w:w="120" w:type="dxa"/>
            </w:tcMar>
            <w:vAlign w:val="center"/>
          </w:tcPr>
          <w:p w14:paraId="3683E170">
            <w:r>
              <w:rPr>
                <w:b/>
                <w:bCs/>
                <w:color w:val="FFFFFF"/>
                <w:sz w:val="20"/>
                <w:szCs w:val="20"/>
              </w:rPr>
              <w:t>Coefficient ($)</w:t>
            </w:r>
          </w:p>
        </w:tc>
      </w:tr>
      <w:tr w14:paraId="7FDEF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60" w:type="dxa"/>
              <w:left w:w="120" w:type="dxa"/>
              <w:bottom w:w="60" w:type="dxa"/>
              <w:right w:w="120" w:type="dxa"/>
            </w:tcMar>
            <w:vAlign w:val="center"/>
          </w:tcPr>
          <w:p w14:paraId="6E9FADA6">
            <w:r>
              <w:rPr>
                <w:sz w:val="20"/>
                <w:szCs w:val="20"/>
              </w:rPr>
              <w:t>Google Ads</w:t>
            </w:r>
          </w:p>
        </w:tc>
        <w:tc>
          <w:tcPr>
            <w:tcW w:w="4680" w:type="dxa"/>
            <w:shd w:val="clear" w:color="auto" w:fill="FFFFFF"/>
            <w:tcMar>
              <w:top w:w="60" w:type="dxa"/>
              <w:left w:w="120" w:type="dxa"/>
              <w:bottom w:w="60" w:type="dxa"/>
              <w:right w:w="120" w:type="dxa"/>
            </w:tcMar>
            <w:vAlign w:val="center"/>
          </w:tcPr>
          <w:p w14:paraId="6D318E62">
            <w:r>
              <w:rPr>
                <w:sz w:val="20"/>
                <w:szCs w:val="20"/>
              </w:rPr>
              <w:t>295,955</w:t>
            </w:r>
          </w:p>
        </w:tc>
      </w:tr>
      <w:tr w14:paraId="039A7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4F6F8"/>
            <w:tcMar>
              <w:top w:w="60" w:type="dxa"/>
              <w:left w:w="120" w:type="dxa"/>
              <w:bottom w:w="60" w:type="dxa"/>
              <w:right w:w="120" w:type="dxa"/>
            </w:tcMar>
            <w:vAlign w:val="center"/>
          </w:tcPr>
          <w:p w14:paraId="2F475AF3">
            <w:r>
              <w:rPr>
                <w:sz w:val="20"/>
                <w:szCs w:val="20"/>
              </w:rPr>
              <w:t>Instagram</w:t>
            </w:r>
          </w:p>
        </w:tc>
        <w:tc>
          <w:tcPr>
            <w:tcW w:w="4680" w:type="dxa"/>
            <w:shd w:val="clear" w:color="auto" w:fill="F4F6F8"/>
            <w:tcMar>
              <w:top w:w="60" w:type="dxa"/>
              <w:left w:w="120" w:type="dxa"/>
              <w:bottom w:w="60" w:type="dxa"/>
              <w:right w:w="120" w:type="dxa"/>
            </w:tcMar>
            <w:vAlign w:val="center"/>
          </w:tcPr>
          <w:p w14:paraId="528E592D">
            <w:r>
              <w:rPr>
                <w:sz w:val="20"/>
                <w:szCs w:val="20"/>
              </w:rPr>
              <w:t>276,133</w:t>
            </w:r>
          </w:p>
        </w:tc>
      </w:tr>
      <w:tr w14:paraId="55F43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60" w:type="dxa"/>
              <w:left w:w="120" w:type="dxa"/>
              <w:bottom w:w="60" w:type="dxa"/>
              <w:right w:w="120" w:type="dxa"/>
            </w:tcMar>
            <w:vAlign w:val="center"/>
          </w:tcPr>
          <w:p w14:paraId="590CEB9C">
            <w:r>
              <w:rPr>
                <w:sz w:val="20"/>
                <w:szCs w:val="20"/>
              </w:rPr>
              <w:t>OTT</w:t>
            </w:r>
          </w:p>
        </w:tc>
        <w:tc>
          <w:tcPr>
            <w:tcW w:w="4680" w:type="dxa"/>
            <w:shd w:val="clear" w:color="auto" w:fill="FFFFFF"/>
            <w:tcMar>
              <w:top w:w="60" w:type="dxa"/>
              <w:left w:w="120" w:type="dxa"/>
              <w:bottom w:w="60" w:type="dxa"/>
              <w:right w:w="120" w:type="dxa"/>
            </w:tcMar>
            <w:vAlign w:val="center"/>
          </w:tcPr>
          <w:p w14:paraId="741AD6E1">
            <w:r>
              <w:rPr>
                <w:sz w:val="20"/>
                <w:szCs w:val="20"/>
              </w:rPr>
              <w:t>185,304</w:t>
            </w:r>
          </w:p>
        </w:tc>
      </w:tr>
      <w:tr w14:paraId="0D4FE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4F6F8"/>
            <w:tcMar>
              <w:top w:w="60" w:type="dxa"/>
              <w:left w:w="120" w:type="dxa"/>
              <w:bottom w:w="60" w:type="dxa"/>
              <w:right w:w="120" w:type="dxa"/>
            </w:tcMar>
            <w:vAlign w:val="center"/>
          </w:tcPr>
          <w:p w14:paraId="71229A14">
            <w:r>
              <w:rPr>
                <w:sz w:val="20"/>
                <w:szCs w:val="20"/>
              </w:rPr>
              <w:t>Influencer</w:t>
            </w:r>
          </w:p>
        </w:tc>
        <w:tc>
          <w:tcPr>
            <w:tcW w:w="4680" w:type="dxa"/>
            <w:shd w:val="clear" w:color="auto" w:fill="F4F6F8"/>
            <w:tcMar>
              <w:top w:w="60" w:type="dxa"/>
              <w:left w:w="120" w:type="dxa"/>
              <w:bottom w:w="60" w:type="dxa"/>
              <w:right w:w="120" w:type="dxa"/>
            </w:tcMar>
            <w:vAlign w:val="center"/>
          </w:tcPr>
          <w:p w14:paraId="2F67422B">
            <w:r>
              <w:rPr>
                <w:sz w:val="20"/>
                <w:szCs w:val="20"/>
              </w:rPr>
              <w:t>134,003</w:t>
            </w:r>
          </w:p>
        </w:tc>
      </w:tr>
      <w:tr w14:paraId="759FC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60" w:type="dxa"/>
              <w:left w:w="120" w:type="dxa"/>
              <w:bottom w:w="60" w:type="dxa"/>
              <w:right w:w="120" w:type="dxa"/>
            </w:tcMar>
            <w:vAlign w:val="center"/>
          </w:tcPr>
          <w:p w14:paraId="67AC1D94">
            <w:r>
              <w:rPr>
                <w:sz w:val="20"/>
                <w:szCs w:val="20"/>
              </w:rPr>
              <w:t>TV</w:t>
            </w:r>
          </w:p>
        </w:tc>
        <w:tc>
          <w:tcPr>
            <w:tcW w:w="4680" w:type="dxa"/>
            <w:shd w:val="clear" w:color="auto" w:fill="FFFFFF"/>
            <w:tcMar>
              <w:top w:w="60" w:type="dxa"/>
              <w:left w:w="120" w:type="dxa"/>
              <w:bottom w:w="60" w:type="dxa"/>
              <w:right w:w="120" w:type="dxa"/>
            </w:tcMar>
            <w:vAlign w:val="center"/>
          </w:tcPr>
          <w:p w14:paraId="50B1D1B2">
            <w:r>
              <w:rPr>
                <w:sz w:val="20"/>
                <w:szCs w:val="20"/>
              </w:rPr>
              <w:t>118,773</w:t>
            </w:r>
          </w:p>
        </w:tc>
      </w:tr>
      <w:tr w14:paraId="49396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4F6F8"/>
            <w:tcMar>
              <w:top w:w="60" w:type="dxa"/>
              <w:left w:w="120" w:type="dxa"/>
              <w:bottom w:w="60" w:type="dxa"/>
              <w:right w:w="120" w:type="dxa"/>
            </w:tcMar>
            <w:vAlign w:val="center"/>
          </w:tcPr>
          <w:p w14:paraId="77DB758C">
            <w:r>
              <w:rPr>
                <w:sz w:val="20"/>
                <w:szCs w:val="20"/>
              </w:rPr>
              <w:t>Newspaper</w:t>
            </w:r>
          </w:p>
        </w:tc>
        <w:tc>
          <w:tcPr>
            <w:tcW w:w="4680" w:type="dxa"/>
            <w:shd w:val="clear" w:color="auto" w:fill="F4F6F8"/>
            <w:tcMar>
              <w:top w:w="60" w:type="dxa"/>
              <w:left w:w="120" w:type="dxa"/>
              <w:bottom w:w="60" w:type="dxa"/>
              <w:right w:w="120" w:type="dxa"/>
            </w:tcMar>
            <w:vAlign w:val="center"/>
          </w:tcPr>
          <w:p w14:paraId="727EC4A0">
            <w:r>
              <w:rPr>
                <w:sz w:val="20"/>
                <w:szCs w:val="20"/>
              </w:rPr>
              <w:t>81,093</w:t>
            </w:r>
          </w:p>
        </w:tc>
      </w:tr>
      <w:tr w14:paraId="63B74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60" w:type="dxa"/>
              <w:left w:w="120" w:type="dxa"/>
              <w:bottom w:w="60" w:type="dxa"/>
              <w:right w:w="120" w:type="dxa"/>
            </w:tcMar>
            <w:vAlign w:val="center"/>
          </w:tcPr>
          <w:p w14:paraId="2FB82937">
            <w:r>
              <w:rPr>
                <w:sz w:val="20"/>
                <w:szCs w:val="20"/>
              </w:rPr>
              <w:t>YouTube</w:t>
            </w:r>
          </w:p>
        </w:tc>
        <w:tc>
          <w:tcPr>
            <w:tcW w:w="4680" w:type="dxa"/>
            <w:shd w:val="clear" w:color="auto" w:fill="FFFFFF"/>
            <w:tcMar>
              <w:top w:w="60" w:type="dxa"/>
              <w:left w:w="120" w:type="dxa"/>
              <w:bottom w:w="60" w:type="dxa"/>
              <w:right w:w="120" w:type="dxa"/>
            </w:tcMar>
            <w:vAlign w:val="center"/>
          </w:tcPr>
          <w:p w14:paraId="4931A455">
            <w:r>
              <w:rPr>
                <w:sz w:val="20"/>
                <w:szCs w:val="20"/>
              </w:rPr>
              <w:t>75,723</w:t>
            </w:r>
          </w:p>
        </w:tc>
      </w:tr>
      <w:tr w14:paraId="1F8BB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4F6F8"/>
            <w:tcMar>
              <w:top w:w="60" w:type="dxa"/>
              <w:left w:w="120" w:type="dxa"/>
              <w:bottom w:w="60" w:type="dxa"/>
              <w:right w:w="120" w:type="dxa"/>
            </w:tcMar>
            <w:vAlign w:val="center"/>
          </w:tcPr>
          <w:p w14:paraId="603DFDA9">
            <w:r>
              <w:rPr>
                <w:sz w:val="20"/>
                <w:szCs w:val="20"/>
              </w:rPr>
              <w:t>Competitor Spend</w:t>
            </w:r>
          </w:p>
        </w:tc>
        <w:tc>
          <w:tcPr>
            <w:tcW w:w="4680" w:type="dxa"/>
            <w:shd w:val="clear" w:color="auto" w:fill="F4F6F8"/>
            <w:tcMar>
              <w:top w:w="60" w:type="dxa"/>
              <w:left w:w="120" w:type="dxa"/>
              <w:bottom w:w="60" w:type="dxa"/>
              <w:right w:w="120" w:type="dxa"/>
            </w:tcMar>
            <w:vAlign w:val="center"/>
          </w:tcPr>
          <w:p w14:paraId="74F95842">
            <w:r>
              <w:rPr>
                <w:sz w:val="20"/>
                <w:szCs w:val="20"/>
              </w:rPr>
              <w:t>-48,724</w:t>
            </w:r>
          </w:p>
        </w:tc>
      </w:tr>
      <w:tr w14:paraId="133BD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60" w:type="dxa"/>
              <w:left w:w="120" w:type="dxa"/>
              <w:bottom w:w="60" w:type="dxa"/>
              <w:right w:w="120" w:type="dxa"/>
            </w:tcMar>
            <w:vAlign w:val="center"/>
          </w:tcPr>
          <w:p w14:paraId="37D27C8B">
            <w:r>
              <w:rPr>
                <w:sz w:val="20"/>
                <w:szCs w:val="20"/>
              </w:rPr>
              <w:t>Promo: Normal</w:t>
            </w:r>
          </w:p>
        </w:tc>
        <w:tc>
          <w:tcPr>
            <w:tcW w:w="4680" w:type="dxa"/>
            <w:shd w:val="clear" w:color="auto" w:fill="FFFFFF"/>
            <w:tcMar>
              <w:top w:w="60" w:type="dxa"/>
              <w:left w:w="120" w:type="dxa"/>
              <w:bottom w:w="60" w:type="dxa"/>
              <w:right w:w="120" w:type="dxa"/>
            </w:tcMar>
            <w:vAlign w:val="center"/>
          </w:tcPr>
          <w:p w14:paraId="0201E479">
            <w:r>
              <w:rPr>
                <w:sz w:val="20"/>
                <w:szCs w:val="20"/>
              </w:rPr>
              <w:t>-35,268</w:t>
            </w:r>
          </w:p>
        </w:tc>
      </w:tr>
      <w:tr w14:paraId="37153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4F6F8"/>
            <w:tcMar>
              <w:top w:w="60" w:type="dxa"/>
              <w:left w:w="120" w:type="dxa"/>
              <w:bottom w:w="60" w:type="dxa"/>
              <w:right w:w="120" w:type="dxa"/>
            </w:tcMar>
            <w:vAlign w:val="center"/>
          </w:tcPr>
          <w:p w14:paraId="304B10A1">
            <w:r>
              <w:rPr>
                <w:sz w:val="20"/>
                <w:szCs w:val="20"/>
              </w:rPr>
              <w:t>Week (sin)</w:t>
            </w:r>
          </w:p>
        </w:tc>
        <w:tc>
          <w:tcPr>
            <w:tcW w:w="4680" w:type="dxa"/>
            <w:shd w:val="clear" w:color="auto" w:fill="F4F6F8"/>
            <w:tcMar>
              <w:top w:w="60" w:type="dxa"/>
              <w:left w:w="120" w:type="dxa"/>
              <w:bottom w:w="60" w:type="dxa"/>
              <w:right w:w="120" w:type="dxa"/>
            </w:tcMar>
            <w:vAlign w:val="center"/>
          </w:tcPr>
          <w:p w14:paraId="5CA48CD2">
            <w:r>
              <w:rPr>
                <w:sz w:val="20"/>
                <w:szCs w:val="20"/>
              </w:rPr>
              <w:t>-24,544</w:t>
            </w:r>
          </w:p>
        </w:tc>
      </w:tr>
      <w:tr w14:paraId="16DFA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60" w:type="dxa"/>
              <w:left w:w="120" w:type="dxa"/>
              <w:bottom w:w="60" w:type="dxa"/>
              <w:right w:w="120" w:type="dxa"/>
            </w:tcMar>
            <w:vAlign w:val="center"/>
          </w:tcPr>
          <w:p w14:paraId="12AB3EE2">
            <w:r>
              <w:rPr>
                <w:sz w:val="20"/>
                <w:szCs w:val="20"/>
              </w:rPr>
              <w:t>Promo: Flash Sale</w:t>
            </w:r>
          </w:p>
        </w:tc>
        <w:tc>
          <w:tcPr>
            <w:tcW w:w="4680" w:type="dxa"/>
            <w:shd w:val="clear" w:color="auto" w:fill="FFFFFF"/>
            <w:tcMar>
              <w:top w:w="60" w:type="dxa"/>
              <w:left w:w="120" w:type="dxa"/>
              <w:bottom w:w="60" w:type="dxa"/>
              <w:right w:w="120" w:type="dxa"/>
            </w:tcMar>
            <w:vAlign w:val="center"/>
          </w:tcPr>
          <w:p w14:paraId="353B4BA2">
            <w:r>
              <w:rPr>
                <w:sz w:val="20"/>
                <w:szCs w:val="20"/>
              </w:rPr>
              <w:t>-12,015</w:t>
            </w:r>
          </w:p>
        </w:tc>
      </w:tr>
      <w:tr w14:paraId="43DC1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4F6F8"/>
            <w:tcMar>
              <w:top w:w="60" w:type="dxa"/>
              <w:left w:w="120" w:type="dxa"/>
              <w:bottom w:w="60" w:type="dxa"/>
              <w:right w:w="120" w:type="dxa"/>
            </w:tcMar>
            <w:vAlign w:val="center"/>
          </w:tcPr>
          <w:p w14:paraId="46371F2E">
            <w:r>
              <w:rPr>
                <w:sz w:val="20"/>
                <w:szCs w:val="20"/>
              </w:rPr>
              <w:t>Time Trend</w:t>
            </w:r>
          </w:p>
        </w:tc>
        <w:tc>
          <w:tcPr>
            <w:tcW w:w="4680" w:type="dxa"/>
            <w:shd w:val="clear" w:color="auto" w:fill="F4F6F8"/>
            <w:tcMar>
              <w:top w:w="60" w:type="dxa"/>
              <w:left w:w="120" w:type="dxa"/>
              <w:bottom w:w="60" w:type="dxa"/>
              <w:right w:w="120" w:type="dxa"/>
            </w:tcMar>
            <w:vAlign w:val="center"/>
          </w:tcPr>
          <w:p w14:paraId="7B9A88A7">
            <w:r>
              <w:rPr>
                <w:sz w:val="20"/>
                <w:szCs w:val="20"/>
              </w:rPr>
              <w:t>-10,089</w:t>
            </w:r>
          </w:p>
        </w:tc>
      </w:tr>
      <w:tr w14:paraId="117ED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60" w:type="dxa"/>
              <w:left w:w="120" w:type="dxa"/>
              <w:bottom w:w="60" w:type="dxa"/>
              <w:right w:w="120" w:type="dxa"/>
            </w:tcMar>
            <w:vAlign w:val="center"/>
          </w:tcPr>
          <w:p w14:paraId="117C8C68">
            <w:r>
              <w:rPr>
                <w:sz w:val="20"/>
                <w:szCs w:val="20"/>
              </w:rPr>
              <w:t>Promo: Coupons</w:t>
            </w:r>
          </w:p>
        </w:tc>
        <w:tc>
          <w:tcPr>
            <w:tcW w:w="4680" w:type="dxa"/>
            <w:shd w:val="clear" w:color="auto" w:fill="FFFFFF"/>
            <w:tcMar>
              <w:top w:w="60" w:type="dxa"/>
              <w:left w:w="120" w:type="dxa"/>
              <w:bottom w:w="60" w:type="dxa"/>
              <w:right w:w="120" w:type="dxa"/>
            </w:tcMar>
            <w:vAlign w:val="center"/>
          </w:tcPr>
          <w:p w14:paraId="467A75F1">
            <w:r>
              <w:rPr>
                <w:sz w:val="20"/>
                <w:szCs w:val="20"/>
              </w:rPr>
              <w:t>-7,666</w:t>
            </w:r>
          </w:p>
        </w:tc>
      </w:tr>
      <w:tr w14:paraId="58A55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4F6F8"/>
            <w:tcMar>
              <w:top w:w="60" w:type="dxa"/>
              <w:left w:w="120" w:type="dxa"/>
              <w:bottom w:w="60" w:type="dxa"/>
              <w:right w:w="120" w:type="dxa"/>
            </w:tcMar>
            <w:vAlign w:val="center"/>
          </w:tcPr>
          <w:p w14:paraId="014A35D4">
            <w:r>
              <w:rPr>
                <w:sz w:val="20"/>
                <w:szCs w:val="20"/>
              </w:rPr>
              <w:t>Week (cos)</w:t>
            </w:r>
          </w:p>
        </w:tc>
        <w:tc>
          <w:tcPr>
            <w:tcW w:w="4680" w:type="dxa"/>
            <w:shd w:val="clear" w:color="auto" w:fill="F4F6F8"/>
            <w:tcMar>
              <w:top w:w="60" w:type="dxa"/>
              <w:left w:w="120" w:type="dxa"/>
              <w:bottom w:w="60" w:type="dxa"/>
              <w:right w:w="120" w:type="dxa"/>
            </w:tcMar>
            <w:vAlign w:val="center"/>
          </w:tcPr>
          <w:p w14:paraId="3FEAC7D5">
            <w:r>
              <w:rPr>
                <w:sz w:val="20"/>
                <w:szCs w:val="20"/>
              </w:rPr>
              <w:t>5,555</w:t>
            </w:r>
          </w:p>
        </w:tc>
      </w:tr>
      <w:tr w14:paraId="60861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60" w:type="dxa"/>
              <w:left w:w="120" w:type="dxa"/>
              <w:bottom w:w="60" w:type="dxa"/>
              <w:right w:w="120" w:type="dxa"/>
            </w:tcMar>
            <w:vAlign w:val="center"/>
          </w:tcPr>
          <w:p w14:paraId="5C93B2E1">
            <w:r>
              <w:rPr>
                <w:sz w:val="20"/>
                <w:szCs w:val="20"/>
              </w:rPr>
              <w:t>Holiday</w:t>
            </w:r>
          </w:p>
        </w:tc>
        <w:tc>
          <w:tcPr>
            <w:tcW w:w="4680" w:type="dxa"/>
            <w:shd w:val="clear" w:color="auto" w:fill="FFFFFF"/>
            <w:tcMar>
              <w:top w:w="60" w:type="dxa"/>
              <w:left w:w="120" w:type="dxa"/>
              <w:bottom w:w="60" w:type="dxa"/>
              <w:right w:w="120" w:type="dxa"/>
            </w:tcMar>
            <w:vAlign w:val="center"/>
          </w:tcPr>
          <w:p w14:paraId="0C147BA4">
            <w:r>
              <w:rPr>
                <w:sz w:val="20"/>
                <w:szCs w:val="20"/>
              </w:rPr>
              <w:t>4,484</w:t>
            </w:r>
          </w:p>
        </w:tc>
      </w:tr>
    </w:tbl>
    <w:p w14:paraId="35CECD45">
      <w:pPr>
        <w:spacing w:after="200"/>
      </w:pPr>
    </w:p>
    <w:p w14:paraId="495AC574">
      <w:pPr>
        <w:pStyle w:val="3"/>
        <w:spacing w:before="240" w:after="120"/>
      </w:pPr>
      <w:r>
        <w:rPr>
          <w:b/>
          <w:bCs/>
          <w:color w:val="1F3864"/>
        </w:rPr>
        <w:t>B. Full Doubling-Spend Scenario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740"/>
        <w:gridCol w:w="1740"/>
        <w:gridCol w:w="1740"/>
        <w:gridCol w:w="1740"/>
      </w:tblGrid>
      <w:tr w14:paraId="7C0EE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00" w:type="dxa"/>
            <w:shd w:val="clear" w:color="auto" w:fill="1F3864"/>
            <w:tcMar>
              <w:top w:w="80" w:type="dxa"/>
              <w:left w:w="120" w:type="dxa"/>
              <w:bottom w:w="80" w:type="dxa"/>
              <w:right w:w="120" w:type="dxa"/>
            </w:tcMar>
            <w:vAlign w:val="center"/>
          </w:tcPr>
          <w:p w14:paraId="551B5526">
            <w:r>
              <w:rPr>
                <w:b/>
                <w:bCs/>
                <w:color w:val="FFFFFF"/>
                <w:sz w:val="20"/>
                <w:szCs w:val="20"/>
              </w:rPr>
              <w:t>Channel</w:t>
            </w:r>
          </w:p>
        </w:tc>
        <w:tc>
          <w:tcPr>
            <w:tcW w:w="1740" w:type="dxa"/>
            <w:shd w:val="clear" w:color="auto" w:fill="1F3864"/>
            <w:tcMar>
              <w:top w:w="80" w:type="dxa"/>
              <w:left w:w="120" w:type="dxa"/>
              <w:bottom w:w="80" w:type="dxa"/>
              <w:right w:w="120" w:type="dxa"/>
            </w:tcMar>
            <w:vAlign w:val="center"/>
          </w:tcPr>
          <w:p w14:paraId="74668B2D">
            <w:r>
              <w:rPr>
                <w:b/>
                <w:bCs/>
                <w:color w:val="FFFFFF"/>
                <w:sz w:val="20"/>
                <w:szCs w:val="20"/>
              </w:rPr>
              <w:t>Extra Spend</w:t>
            </w:r>
          </w:p>
        </w:tc>
        <w:tc>
          <w:tcPr>
            <w:tcW w:w="1740" w:type="dxa"/>
            <w:shd w:val="clear" w:color="auto" w:fill="1F3864"/>
            <w:tcMar>
              <w:top w:w="80" w:type="dxa"/>
              <w:left w:w="120" w:type="dxa"/>
              <w:bottom w:w="80" w:type="dxa"/>
              <w:right w:w="120" w:type="dxa"/>
            </w:tcMar>
            <w:vAlign w:val="center"/>
          </w:tcPr>
          <w:p w14:paraId="40705387">
            <w:r>
              <w:rPr>
                <w:b/>
                <w:bCs/>
                <w:color w:val="FFFFFF"/>
                <w:sz w:val="20"/>
                <w:szCs w:val="20"/>
              </w:rPr>
              <w:t>Total Lift</w:t>
            </w:r>
          </w:p>
        </w:tc>
        <w:tc>
          <w:tcPr>
            <w:tcW w:w="1740" w:type="dxa"/>
            <w:shd w:val="clear" w:color="auto" w:fill="1F3864"/>
            <w:tcMar>
              <w:top w:w="80" w:type="dxa"/>
              <w:left w:w="120" w:type="dxa"/>
              <w:bottom w:w="80" w:type="dxa"/>
              <w:right w:w="120" w:type="dxa"/>
            </w:tcMar>
            <w:vAlign w:val="center"/>
          </w:tcPr>
          <w:p w14:paraId="50DA8117">
            <w:r>
              <w:rPr>
                <w:b/>
                <w:bCs/>
                <w:color w:val="FFFFFF"/>
                <w:sz w:val="20"/>
                <w:szCs w:val="20"/>
              </w:rPr>
              <w:t>Lift %</w:t>
            </w:r>
          </w:p>
        </w:tc>
        <w:tc>
          <w:tcPr>
            <w:tcW w:w="1740" w:type="dxa"/>
            <w:shd w:val="clear" w:color="auto" w:fill="1F3864"/>
            <w:tcMar>
              <w:top w:w="80" w:type="dxa"/>
              <w:left w:w="120" w:type="dxa"/>
              <w:bottom w:w="80" w:type="dxa"/>
              <w:right w:w="120" w:type="dxa"/>
            </w:tcMar>
            <w:vAlign w:val="center"/>
          </w:tcPr>
          <w:p w14:paraId="0D66B620">
            <w:r>
              <w:rPr>
                <w:b/>
                <w:bCs/>
                <w:color w:val="FFFFFF"/>
                <w:sz w:val="20"/>
                <w:szCs w:val="20"/>
              </w:rPr>
              <w:t>ROI</w:t>
            </w:r>
          </w:p>
        </w:tc>
      </w:tr>
      <w:tr w14:paraId="196F5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60" w:type="dxa"/>
              <w:left w:w="120" w:type="dxa"/>
              <w:bottom w:w="60" w:type="dxa"/>
              <w:right w:w="120" w:type="dxa"/>
            </w:tcMar>
            <w:vAlign w:val="center"/>
          </w:tcPr>
          <w:p w14:paraId="580CB050">
            <w:r>
              <w:rPr>
                <w:sz w:val="20"/>
                <w:szCs w:val="20"/>
              </w:rPr>
              <w:t>Instagram</w:t>
            </w:r>
          </w:p>
        </w:tc>
        <w:tc>
          <w:tcPr>
            <w:tcW w:w="1740" w:type="dxa"/>
            <w:shd w:val="clear" w:color="auto" w:fill="FFFFFF"/>
            <w:tcMar>
              <w:top w:w="60" w:type="dxa"/>
              <w:left w:w="120" w:type="dxa"/>
              <w:bottom w:w="60" w:type="dxa"/>
              <w:right w:w="120" w:type="dxa"/>
            </w:tcMar>
            <w:vAlign w:val="center"/>
          </w:tcPr>
          <w:p w14:paraId="1FEF0827">
            <w:r>
              <w:rPr>
                <w:sz w:val="20"/>
                <w:szCs w:val="20"/>
              </w:rPr>
              <w:t>$11.26M</w:t>
            </w:r>
          </w:p>
        </w:tc>
        <w:tc>
          <w:tcPr>
            <w:tcW w:w="1740" w:type="dxa"/>
            <w:shd w:val="clear" w:color="auto" w:fill="FFFFFF"/>
            <w:tcMar>
              <w:top w:w="60" w:type="dxa"/>
              <w:left w:w="120" w:type="dxa"/>
              <w:bottom w:w="60" w:type="dxa"/>
              <w:right w:w="120" w:type="dxa"/>
            </w:tcMar>
            <w:vAlign w:val="center"/>
          </w:tcPr>
          <w:p w14:paraId="71A5DBF1">
            <w:r>
              <w:rPr>
                <w:sz w:val="20"/>
                <w:szCs w:val="20"/>
              </w:rPr>
              <w:t>$47.86M</w:t>
            </w:r>
          </w:p>
        </w:tc>
        <w:tc>
          <w:tcPr>
            <w:tcW w:w="1740" w:type="dxa"/>
            <w:shd w:val="clear" w:color="auto" w:fill="FFFFFF"/>
            <w:tcMar>
              <w:top w:w="60" w:type="dxa"/>
              <w:left w:w="120" w:type="dxa"/>
              <w:bottom w:w="60" w:type="dxa"/>
              <w:right w:w="120" w:type="dxa"/>
            </w:tcMar>
            <w:vAlign w:val="center"/>
          </w:tcPr>
          <w:p w14:paraId="0C22F66C">
            <w:r>
              <w:rPr>
                <w:sz w:val="20"/>
                <w:szCs w:val="20"/>
              </w:rPr>
              <w:t>10.01%</w:t>
            </w:r>
          </w:p>
        </w:tc>
        <w:tc>
          <w:tcPr>
            <w:tcW w:w="1740" w:type="dxa"/>
            <w:shd w:val="clear" w:color="auto" w:fill="FFFFFF"/>
            <w:tcMar>
              <w:top w:w="60" w:type="dxa"/>
              <w:left w:w="120" w:type="dxa"/>
              <w:bottom w:w="60" w:type="dxa"/>
              <w:right w:w="120" w:type="dxa"/>
            </w:tcMar>
            <w:vAlign w:val="center"/>
          </w:tcPr>
          <w:p w14:paraId="008B0850">
            <w:r>
              <w:rPr>
                <w:sz w:val="20"/>
                <w:szCs w:val="20"/>
              </w:rPr>
              <w:t>4.25x</w:t>
            </w:r>
          </w:p>
        </w:tc>
      </w:tr>
      <w:tr w14:paraId="4EA60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4F6F8"/>
            <w:tcMar>
              <w:top w:w="60" w:type="dxa"/>
              <w:left w:w="120" w:type="dxa"/>
              <w:bottom w:w="60" w:type="dxa"/>
              <w:right w:w="120" w:type="dxa"/>
            </w:tcMar>
            <w:vAlign w:val="center"/>
          </w:tcPr>
          <w:p w14:paraId="134A2892">
            <w:r>
              <w:rPr>
                <w:sz w:val="20"/>
                <w:szCs w:val="20"/>
              </w:rPr>
              <w:t>Google Ads</w:t>
            </w:r>
          </w:p>
        </w:tc>
        <w:tc>
          <w:tcPr>
            <w:tcW w:w="1740" w:type="dxa"/>
            <w:shd w:val="clear" w:color="auto" w:fill="F4F6F8"/>
            <w:tcMar>
              <w:top w:w="60" w:type="dxa"/>
              <w:left w:w="120" w:type="dxa"/>
              <w:bottom w:w="60" w:type="dxa"/>
              <w:right w:w="120" w:type="dxa"/>
            </w:tcMar>
            <w:vAlign w:val="center"/>
          </w:tcPr>
          <w:p w14:paraId="43638C9F">
            <w:r>
              <w:rPr>
                <w:sz w:val="20"/>
                <w:szCs w:val="20"/>
              </w:rPr>
              <w:t>$11.85M</w:t>
            </w:r>
          </w:p>
        </w:tc>
        <w:tc>
          <w:tcPr>
            <w:tcW w:w="1740" w:type="dxa"/>
            <w:shd w:val="clear" w:color="auto" w:fill="F4F6F8"/>
            <w:tcMar>
              <w:top w:w="60" w:type="dxa"/>
              <w:left w:w="120" w:type="dxa"/>
              <w:bottom w:w="60" w:type="dxa"/>
              <w:right w:w="120" w:type="dxa"/>
            </w:tcMar>
            <w:vAlign w:val="center"/>
          </w:tcPr>
          <w:p w14:paraId="4E7FBCA3">
            <w:r>
              <w:rPr>
                <w:sz w:val="20"/>
                <w:szCs w:val="20"/>
              </w:rPr>
              <w:t>$37.80M</w:t>
            </w:r>
          </w:p>
        </w:tc>
        <w:tc>
          <w:tcPr>
            <w:tcW w:w="1740" w:type="dxa"/>
            <w:shd w:val="clear" w:color="auto" w:fill="F4F6F8"/>
            <w:tcMar>
              <w:top w:w="60" w:type="dxa"/>
              <w:left w:w="120" w:type="dxa"/>
              <w:bottom w:w="60" w:type="dxa"/>
              <w:right w:w="120" w:type="dxa"/>
            </w:tcMar>
            <w:vAlign w:val="center"/>
          </w:tcPr>
          <w:p w14:paraId="7CEE91FD">
            <w:r>
              <w:rPr>
                <w:sz w:val="20"/>
                <w:szCs w:val="20"/>
              </w:rPr>
              <w:t>7.91%</w:t>
            </w:r>
          </w:p>
        </w:tc>
        <w:tc>
          <w:tcPr>
            <w:tcW w:w="1740" w:type="dxa"/>
            <w:shd w:val="clear" w:color="auto" w:fill="F4F6F8"/>
            <w:tcMar>
              <w:top w:w="60" w:type="dxa"/>
              <w:left w:w="120" w:type="dxa"/>
              <w:bottom w:w="60" w:type="dxa"/>
              <w:right w:w="120" w:type="dxa"/>
            </w:tcMar>
            <w:vAlign w:val="center"/>
          </w:tcPr>
          <w:p w14:paraId="6C41F767">
            <w:r>
              <w:rPr>
                <w:sz w:val="20"/>
                <w:szCs w:val="20"/>
              </w:rPr>
              <w:t>3.19x</w:t>
            </w:r>
          </w:p>
        </w:tc>
      </w:tr>
      <w:tr w14:paraId="25098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60" w:type="dxa"/>
              <w:left w:w="120" w:type="dxa"/>
              <w:bottom w:w="60" w:type="dxa"/>
              <w:right w:w="120" w:type="dxa"/>
            </w:tcMar>
            <w:vAlign w:val="center"/>
          </w:tcPr>
          <w:p w14:paraId="20766C9A">
            <w:r>
              <w:rPr>
                <w:sz w:val="20"/>
                <w:szCs w:val="20"/>
              </w:rPr>
              <w:t>TV</w:t>
            </w:r>
          </w:p>
        </w:tc>
        <w:tc>
          <w:tcPr>
            <w:tcW w:w="1740" w:type="dxa"/>
            <w:shd w:val="clear" w:color="auto" w:fill="FFFFFF"/>
            <w:tcMar>
              <w:top w:w="60" w:type="dxa"/>
              <w:left w:w="120" w:type="dxa"/>
              <w:bottom w:w="60" w:type="dxa"/>
              <w:right w:w="120" w:type="dxa"/>
            </w:tcMar>
            <w:vAlign w:val="center"/>
          </w:tcPr>
          <w:p w14:paraId="0BDF8C57">
            <w:r>
              <w:rPr>
                <w:sz w:val="20"/>
                <w:szCs w:val="20"/>
              </w:rPr>
              <w:t>$7.73M</w:t>
            </w:r>
          </w:p>
        </w:tc>
        <w:tc>
          <w:tcPr>
            <w:tcW w:w="1740" w:type="dxa"/>
            <w:shd w:val="clear" w:color="auto" w:fill="FFFFFF"/>
            <w:tcMar>
              <w:top w:w="60" w:type="dxa"/>
              <w:left w:w="120" w:type="dxa"/>
              <w:bottom w:w="60" w:type="dxa"/>
              <w:right w:w="120" w:type="dxa"/>
            </w:tcMar>
            <w:vAlign w:val="center"/>
          </w:tcPr>
          <w:p w14:paraId="3EBF5920">
            <w:r>
              <w:rPr>
                <w:sz w:val="20"/>
                <w:szCs w:val="20"/>
              </w:rPr>
              <w:t>$25.12M</w:t>
            </w:r>
          </w:p>
        </w:tc>
        <w:tc>
          <w:tcPr>
            <w:tcW w:w="1740" w:type="dxa"/>
            <w:shd w:val="clear" w:color="auto" w:fill="FFFFFF"/>
            <w:tcMar>
              <w:top w:w="60" w:type="dxa"/>
              <w:left w:w="120" w:type="dxa"/>
              <w:bottom w:w="60" w:type="dxa"/>
              <w:right w:w="120" w:type="dxa"/>
            </w:tcMar>
            <w:vAlign w:val="center"/>
          </w:tcPr>
          <w:p w14:paraId="03B05903">
            <w:r>
              <w:rPr>
                <w:sz w:val="20"/>
                <w:szCs w:val="20"/>
              </w:rPr>
              <w:t>5.26%</w:t>
            </w:r>
          </w:p>
        </w:tc>
        <w:tc>
          <w:tcPr>
            <w:tcW w:w="1740" w:type="dxa"/>
            <w:shd w:val="clear" w:color="auto" w:fill="FFFFFF"/>
            <w:tcMar>
              <w:top w:w="60" w:type="dxa"/>
              <w:left w:w="120" w:type="dxa"/>
              <w:bottom w:w="60" w:type="dxa"/>
              <w:right w:w="120" w:type="dxa"/>
            </w:tcMar>
            <w:vAlign w:val="center"/>
          </w:tcPr>
          <w:p w14:paraId="7498A2DB">
            <w:r>
              <w:rPr>
                <w:sz w:val="20"/>
                <w:szCs w:val="20"/>
              </w:rPr>
              <w:t>3.25x</w:t>
            </w:r>
          </w:p>
        </w:tc>
      </w:tr>
      <w:tr w14:paraId="0C664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4F6F8"/>
            <w:tcMar>
              <w:top w:w="60" w:type="dxa"/>
              <w:left w:w="120" w:type="dxa"/>
              <w:bottom w:w="60" w:type="dxa"/>
              <w:right w:w="120" w:type="dxa"/>
            </w:tcMar>
            <w:vAlign w:val="center"/>
          </w:tcPr>
          <w:p w14:paraId="414CFF06">
            <w:r>
              <w:rPr>
                <w:sz w:val="20"/>
                <w:szCs w:val="20"/>
              </w:rPr>
              <w:t>YouTube</w:t>
            </w:r>
          </w:p>
        </w:tc>
        <w:tc>
          <w:tcPr>
            <w:tcW w:w="1740" w:type="dxa"/>
            <w:shd w:val="clear" w:color="auto" w:fill="F4F6F8"/>
            <w:tcMar>
              <w:top w:w="60" w:type="dxa"/>
              <w:left w:w="120" w:type="dxa"/>
              <w:bottom w:w="60" w:type="dxa"/>
              <w:right w:w="120" w:type="dxa"/>
            </w:tcMar>
            <w:vAlign w:val="center"/>
          </w:tcPr>
          <w:p w14:paraId="04B38E50">
            <w:r>
              <w:rPr>
                <w:sz w:val="20"/>
                <w:szCs w:val="20"/>
              </w:rPr>
              <w:t>$5.90M</w:t>
            </w:r>
          </w:p>
        </w:tc>
        <w:tc>
          <w:tcPr>
            <w:tcW w:w="1740" w:type="dxa"/>
            <w:shd w:val="clear" w:color="auto" w:fill="F4F6F8"/>
            <w:tcMar>
              <w:top w:w="60" w:type="dxa"/>
              <w:left w:w="120" w:type="dxa"/>
              <w:bottom w:w="60" w:type="dxa"/>
              <w:right w:w="120" w:type="dxa"/>
            </w:tcMar>
            <w:vAlign w:val="center"/>
          </w:tcPr>
          <w:p w14:paraId="242FFE65">
            <w:r>
              <w:rPr>
                <w:sz w:val="20"/>
                <w:szCs w:val="20"/>
              </w:rPr>
              <w:t>$12.23M</w:t>
            </w:r>
          </w:p>
        </w:tc>
        <w:tc>
          <w:tcPr>
            <w:tcW w:w="1740" w:type="dxa"/>
            <w:shd w:val="clear" w:color="auto" w:fill="F4F6F8"/>
            <w:tcMar>
              <w:top w:w="60" w:type="dxa"/>
              <w:left w:w="120" w:type="dxa"/>
              <w:bottom w:w="60" w:type="dxa"/>
              <w:right w:w="120" w:type="dxa"/>
            </w:tcMar>
            <w:vAlign w:val="center"/>
          </w:tcPr>
          <w:p w14:paraId="353EC78B">
            <w:r>
              <w:rPr>
                <w:sz w:val="20"/>
                <w:szCs w:val="20"/>
              </w:rPr>
              <w:t>2.56%</w:t>
            </w:r>
          </w:p>
        </w:tc>
        <w:tc>
          <w:tcPr>
            <w:tcW w:w="1740" w:type="dxa"/>
            <w:shd w:val="clear" w:color="auto" w:fill="F4F6F8"/>
            <w:tcMar>
              <w:top w:w="60" w:type="dxa"/>
              <w:left w:w="120" w:type="dxa"/>
              <w:bottom w:w="60" w:type="dxa"/>
              <w:right w:w="120" w:type="dxa"/>
            </w:tcMar>
            <w:vAlign w:val="center"/>
          </w:tcPr>
          <w:p w14:paraId="69062006">
            <w:r>
              <w:rPr>
                <w:sz w:val="20"/>
                <w:szCs w:val="20"/>
              </w:rPr>
              <w:t>2.07x</w:t>
            </w:r>
          </w:p>
        </w:tc>
      </w:tr>
      <w:tr w14:paraId="46FDC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60" w:type="dxa"/>
              <w:left w:w="120" w:type="dxa"/>
              <w:bottom w:w="60" w:type="dxa"/>
              <w:right w:w="120" w:type="dxa"/>
            </w:tcMar>
            <w:vAlign w:val="center"/>
          </w:tcPr>
          <w:p w14:paraId="14116602">
            <w:r>
              <w:rPr>
                <w:sz w:val="20"/>
                <w:szCs w:val="20"/>
              </w:rPr>
              <w:t>Newspaper</w:t>
            </w:r>
          </w:p>
        </w:tc>
        <w:tc>
          <w:tcPr>
            <w:tcW w:w="1740" w:type="dxa"/>
            <w:shd w:val="clear" w:color="auto" w:fill="FFFFFF"/>
            <w:tcMar>
              <w:top w:w="60" w:type="dxa"/>
              <w:left w:w="120" w:type="dxa"/>
              <w:bottom w:w="60" w:type="dxa"/>
              <w:right w:w="120" w:type="dxa"/>
            </w:tcMar>
            <w:vAlign w:val="center"/>
          </w:tcPr>
          <w:p w14:paraId="1820273F">
            <w:r>
              <w:rPr>
                <w:sz w:val="20"/>
                <w:szCs w:val="20"/>
              </w:rPr>
              <w:t>$1.05M</w:t>
            </w:r>
          </w:p>
        </w:tc>
        <w:tc>
          <w:tcPr>
            <w:tcW w:w="1740" w:type="dxa"/>
            <w:shd w:val="clear" w:color="auto" w:fill="FFFFFF"/>
            <w:tcMar>
              <w:top w:w="60" w:type="dxa"/>
              <w:left w:w="120" w:type="dxa"/>
              <w:bottom w:w="60" w:type="dxa"/>
              <w:right w:w="120" w:type="dxa"/>
            </w:tcMar>
            <w:vAlign w:val="center"/>
          </w:tcPr>
          <w:p w14:paraId="27C80872">
            <w:r>
              <w:rPr>
                <w:sz w:val="20"/>
                <w:szCs w:val="20"/>
              </w:rPr>
              <w:t>$14.20M</w:t>
            </w:r>
          </w:p>
        </w:tc>
        <w:tc>
          <w:tcPr>
            <w:tcW w:w="1740" w:type="dxa"/>
            <w:shd w:val="clear" w:color="auto" w:fill="FFFFFF"/>
            <w:tcMar>
              <w:top w:w="60" w:type="dxa"/>
              <w:left w:w="120" w:type="dxa"/>
              <w:bottom w:w="60" w:type="dxa"/>
              <w:right w:w="120" w:type="dxa"/>
            </w:tcMar>
            <w:vAlign w:val="center"/>
          </w:tcPr>
          <w:p w14:paraId="35992704">
            <w:r>
              <w:rPr>
                <w:sz w:val="20"/>
                <w:szCs w:val="20"/>
              </w:rPr>
              <w:t>2.97%</w:t>
            </w:r>
          </w:p>
        </w:tc>
        <w:tc>
          <w:tcPr>
            <w:tcW w:w="1740" w:type="dxa"/>
            <w:shd w:val="clear" w:color="auto" w:fill="FFFFFF"/>
            <w:tcMar>
              <w:top w:w="60" w:type="dxa"/>
              <w:left w:w="120" w:type="dxa"/>
              <w:bottom w:w="60" w:type="dxa"/>
              <w:right w:w="120" w:type="dxa"/>
            </w:tcMar>
            <w:vAlign w:val="center"/>
          </w:tcPr>
          <w:p w14:paraId="45DAEF41">
            <w:r>
              <w:rPr>
                <w:sz w:val="20"/>
                <w:szCs w:val="20"/>
              </w:rPr>
              <w:t>13.48x</w:t>
            </w:r>
          </w:p>
        </w:tc>
      </w:tr>
      <w:tr w14:paraId="5EBDD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4F6F8"/>
            <w:tcMar>
              <w:top w:w="60" w:type="dxa"/>
              <w:left w:w="120" w:type="dxa"/>
              <w:bottom w:w="60" w:type="dxa"/>
              <w:right w:w="120" w:type="dxa"/>
            </w:tcMar>
            <w:vAlign w:val="center"/>
          </w:tcPr>
          <w:p w14:paraId="4C9EB309">
            <w:r>
              <w:rPr>
                <w:sz w:val="20"/>
                <w:szCs w:val="20"/>
              </w:rPr>
              <w:t>Influencer</w:t>
            </w:r>
          </w:p>
        </w:tc>
        <w:tc>
          <w:tcPr>
            <w:tcW w:w="1740" w:type="dxa"/>
            <w:shd w:val="clear" w:color="auto" w:fill="F4F6F8"/>
            <w:tcMar>
              <w:top w:w="60" w:type="dxa"/>
              <w:left w:w="120" w:type="dxa"/>
              <w:bottom w:w="60" w:type="dxa"/>
              <w:right w:w="120" w:type="dxa"/>
            </w:tcMar>
            <w:vAlign w:val="center"/>
          </w:tcPr>
          <w:p w14:paraId="3349E6C7">
            <w:r>
              <w:rPr>
                <w:sz w:val="20"/>
                <w:szCs w:val="20"/>
              </w:rPr>
              <w:t>$4.65M</w:t>
            </w:r>
          </w:p>
        </w:tc>
        <w:tc>
          <w:tcPr>
            <w:tcW w:w="1740" w:type="dxa"/>
            <w:shd w:val="clear" w:color="auto" w:fill="F4F6F8"/>
            <w:tcMar>
              <w:top w:w="60" w:type="dxa"/>
              <w:left w:w="120" w:type="dxa"/>
              <w:bottom w:w="60" w:type="dxa"/>
              <w:right w:w="120" w:type="dxa"/>
            </w:tcMar>
            <w:vAlign w:val="center"/>
          </w:tcPr>
          <w:p w14:paraId="5DDAAA6F">
            <w:r>
              <w:rPr>
                <w:sz w:val="20"/>
                <w:szCs w:val="20"/>
              </w:rPr>
              <w:t>$21.27M</w:t>
            </w:r>
          </w:p>
        </w:tc>
        <w:tc>
          <w:tcPr>
            <w:tcW w:w="1740" w:type="dxa"/>
            <w:shd w:val="clear" w:color="auto" w:fill="F4F6F8"/>
            <w:tcMar>
              <w:top w:w="60" w:type="dxa"/>
              <w:left w:w="120" w:type="dxa"/>
              <w:bottom w:w="60" w:type="dxa"/>
              <w:right w:w="120" w:type="dxa"/>
            </w:tcMar>
            <w:vAlign w:val="center"/>
          </w:tcPr>
          <w:p w14:paraId="17EFA28E">
            <w:r>
              <w:rPr>
                <w:sz w:val="20"/>
                <w:szCs w:val="20"/>
              </w:rPr>
              <w:t>4.45%</w:t>
            </w:r>
          </w:p>
        </w:tc>
        <w:tc>
          <w:tcPr>
            <w:tcW w:w="1740" w:type="dxa"/>
            <w:shd w:val="clear" w:color="auto" w:fill="F4F6F8"/>
            <w:tcMar>
              <w:top w:w="60" w:type="dxa"/>
              <w:left w:w="120" w:type="dxa"/>
              <w:bottom w:w="60" w:type="dxa"/>
              <w:right w:w="120" w:type="dxa"/>
            </w:tcMar>
            <w:vAlign w:val="center"/>
          </w:tcPr>
          <w:p w14:paraId="6AD66983">
            <w:r>
              <w:rPr>
                <w:sz w:val="20"/>
                <w:szCs w:val="20"/>
              </w:rPr>
              <w:t>4.58x</w:t>
            </w:r>
          </w:p>
        </w:tc>
      </w:tr>
      <w:tr w14:paraId="7A0CF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60" w:type="dxa"/>
              <w:left w:w="120" w:type="dxa"/>
              <w:bottom w:w="60" w:type="dxa"/>
              <w:right w:w="120" w:type="dxa"/>
            </w:tcMar>
            <w:vAlign w:val="center"/>
          </w:tcPr>
          <w:p w14:paraId="1A53F941">
            <w:r>
              <w:rPr>
                <w:sz w:val="20"/>
                <w:szCs w:val="20"/>
              </w:rPr>
              <w:t>OTT</w:t>
            </w:r>
          </w:p>
        </w:tc>
        <w:tc>
          <w:tcPr>
            <w:tcW w:w="1740" w:type="dxa"/>
            <w:shd w:val="clear" w:color="auto" w:fill="FFFFFF"/>
            <w:tcMar>
              <w:top w:w="60" w:type="dxa"/>
              <w:left w:w="120" w:type="dxa"/>
              <w:bottom w:w="60" w:type="dxa"/>
              <w:right w:w="120" w:type="dxa"/>
            </w:tcMar>
            <w:vAlign w:val="center"/>
          </w:tcPr>
          <w:p w14:paraId="4E44D6CB">
            <w:r>
              <w:rPr>
                <w:sz w:val="20"/>
                <w:szCs w:val="20"/>
              </w:rPr>
              <w:t>$9.05M</w:t>
            </w:r>
          </w:p>
        </w:tc>
        <w:tc>
          <w:tcPr>
            <w:tcW w:w="1740" w:type="dxa"/>
            <w:shd w:val="clear" w:color="auto" w:fill="FFFFFF"/>
            <w:tcMar>
              <w:top w:w="60" w:type="dxa"/>
              <w:left w:w="120" w:type="dxa"/>
              <w:bottom w:w="60" w:type="dxa"/>
              <w:right w:w="120" w:type="dxa"/>
            </w:tcMar>
            <w:vAlign w:val="center"/>
          </w:tcPr>
          <w:p w14:paraId="598BB439">
            <w:r>
              <w:rPr>
                <w:sz w:val="20"/>
                <w:szCs w:val="20"/>
              </w:rPr>
              <w:t>$32.64M</w:t>
            </w:r>
          </w:p>
        </w:tc>
        <w:tc>
          <w:tcPr>
            <w:tcW w:w="1740" w:type="dxa"/>
            <w:shd w:val="clear" w:color="auto" w:fill="FFFFFF"/>
            <w:tcMar>
              <w:top w:w="60" w:type="dxa"/>
              <w:left w:w="120" w:type="dxa"/>
              <w:bottom w:w="60" w:type="dxa"/>
              <w:right w:w="120" w:type="dxa"/>
            </w:tcMar>
            <w:vAlign w:val="center"/>
          </w:tcPr>
          <w:p w14:paraId="29A020A0">
            <w:r>
              <w:rPr>
                <w:sz w:val="20"/>
                <w:szCs w:val="20"/>
              </w:rPr>
              <w:t>6.83%</w:t>
            </w:r>
          </w:p>
        </w:tc>
        <w:tc>
          <w:tcPr>
            <w:tcW w:w="1740" w:type="dxa"/>
            <w:shd w:val="clear" w:color="auto" w:fill="FFFFFF"/>
            <w:tcMar>
              <w:top w:w="60" w:type="dxa"/>
              <w:left w:w="120" w:type="dxa"/>
              <w:bottom w:w="60" w:type="dxa"/>
              <w:right w:w="120" w:type="dxa"/>
            </w:tcMar>
            <w:vAlign w:val="center"/>
          </w:tcPr>
          <w:p w14:paraId="039480E3">
            <w:r>
              <w:rPr>
                <w:sz w:val="20"/>
                <w:szCs w:val="20"/>
              </w:rPr>
              <w:t>3.61x</w:t>
            </w:r>
          </w:p>
        </w:tc>
      </w:tr>
    </w:tbl>
    <w:p w14:paraId="75649725">
      <w:pPr>
        <w:spacing w:after="200"/>
      </w:pPr>
    </w:p>
    <w:p w14:paraId="62F5B312">
      <w:pPr>
        <w:pStyle w:val="3"/>
        <w:spacing w:before="240" w:after="120"/>
      </w:pPr>
      <w:r>
        <w:rPr>
          <w:b/>
          <w:bCs/>
          <w:color w:val="1F3864"/>
        </w:rPr>
        <w:t>C. Full Saturation Threshold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600"/>
        <w:gridCol w:w="2600"/>
        <w:gridCol w:w="2000"/>
      </w:tblGrid>
      <w:tr w14:paraId="03A60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shd w:val="clear" w:color="auto" w:fill="1F3864"/>
            <w:tcMar>
              <w:top w:w="80" w:type="dxa"/>
              <w:left w:w="120" w:type="dxa"/>
              <w:bottom w:w="80" w:type="dxa"/>
              <w:right w:w="120" w:type="dxa"/>
            </w:tcMar>
            <w:vAlign w:val="center"/>
          </w:tcPr>
          <w:p w14:paraId="45645D1A">
            <w:r>
              <w:rPr>
                <w:b/>
                <w:bCs/>
                <w:color w:val="FFFFFF"/>
                <w:sz w:val="20"/>
                <w:szCs w:val="20"/>
              </w:rPr>
              <w:t>Channel</w:t>
            </w:r>
          </w:p>
        </w:tc>
        <w:tc>
          <w:tcPr>
            <w:tcW w:w="2600" w:type="dxa"/>
            <w:shd w:val="clear" w:color="auto" w:fill="1F3864"/>
            <w:tcMar>
              <w:top w:w="80" w:type="dxa"/>
              <w:left w:w="120" w:type="dxa"/>
              <w:bottom w:w="80" w:type="dxa"/>
              <w:right w:w="120" w:type="dxa"/>
            </w:tcMar>
            <w:vAlign w:val="center"/>
          </w:tcPr>
          <w:p w14:paraId="2D651DA6">
            <w:r>
              <w:rPr>
                <w:b/>
                <w:bCs/>
                <w:color w:val="FFFFFF"/>
                <w:sz w:val="20"/>
                <w:szCs w:val="20"/>
              </w:rPr>
              <w:t>Est. Saturation Threshold (weekly)</w:t>
            </w:r>
          </w:p>
        </w:tc>
        <w:tc>
          <w:tcPr>
            <w:tcW w:w="2600" w:type="dxa"/>
            <w:shd w:val="clear" w:color="auto" w:fill="1F3864"/>
            <w:tcMar>
              <w:top w:w="80" w:type="dxa"/>
              <w:left w:w="120" w:type="dxa"/>
              <w:bottom w:w="80" w:type="dxa"/>
              <w:right w:w="120" w:type="dxa"/>
            </w:tcMar>
            <w:vAlign w:val="center"/>
          </w:tcPr>
          <w:p w14:paraId="28727A03">
            <w:r>
              <w:rPr>
                <w:b/>
                <w:bCs/>
                <w:color w:val="FFFFFF"/>
                <w:sz w:val="20"/>
                <w:szCs w:val="20"/>
              </w:rPr>
              <w:t>Current Avg. Weekly Spend</w:t>
            </w:r>
          </w:p>
        </w:tc>
        <w:tc>
          <w:tcPr>
            <w:tcW w:w="2000" w:type="dxa"/>
            <w:shd w:val="clear" w:color="auto" w:fill="1F3864"/>
            <w:tcMar>
              <w:top w:w="80" w:type="dxa"/>
              <w:left w:w="120" w:type="dxa"/>
              <w:bottom w:w="80" w:type="dxa"/>
              <w:right w:w="120" w:type="dxa"/>
            </w:tcMar>
            <w:vAlign w:val="center"/>
          </w:tcPr>
          <w:p w14:paraId="722975D7">
            <w:r>
              <w:rPr>
                <w:b/>
                <w:bCs/>
                <w:color w:val="FFFFFF"/>
                <w:sz w:val="20"/>
                <w:szCs w:val="20"/>
              </w:rPr>
              <w:t>Headroom</w:t>
            </w:r>
          </w:p>
        </w:tc>
      </w:tr>
      <w:tr w14:paraId="2C56B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shd w:val="clear" w:color="auto" w:fill="FFFFFF"/>
            <w:tcMar>
              <w:top w:w="60" w:type="dxa"/>
              <w:left w:w="120" w:type="dxa"/>
              <w:bottom w:w="60" w:type="dxa"/>
              <w:right w:w="120" w:type="dxa"/>
            </w:tcMar>
            <w:vAlign w:val="center"/>
          </w:tcPr>
          <w:p w14:paraId="58B4CBA9">
            <w:r>
              <w:rPr>
                <w:sz w:val="20"/>
                <w:szCs w:val="20"/>
              </w:rPr>
              <w:t>Instagram</w:t>
            </w:r>
          </w:p>
        </w:tc>
        <w:tc>
          <w:tcPr>
            <w:tcW w:w="2600" w:type="dxa"/>
            <w:shd w:val="clear" w:color="auto" w:fill="FFFFFF"/>
            <w:tcMar>
              <w:top w:w="60" w:type="dxa"/>
              <w:left w:w="120" w:type="dxa"/>
              <w:bottom w:w="60" w:type="dxa"/>
              <w:right w:w="120" w:type="dxa"/>
            </w:tcMar>
            <w:vAlign w:val="center"/>
          </w:tcPr>
          <w:p w14:paraId="06D100DB">
            <w:r>
              <w:rPr>
                <w:sz w:val="20"/>
                <w:szCs w:val="20"/>
              </w:rPr>
              <w:t>$304,466</w:t>
            </w:r>
          </w:p>
        </w:tc>
        <w:tc>
          <w:tcPr>
            <w:tcW w:w="2600" w:type="dxa"/>
            <w:shd w:val="clear" w:color="auto" w:fill="FFFFFF"/>
            <w:tcMar>
              <w:top w:w="60" w:type="dxa"/>
              <w:left w:w="120" w:type="dxa"/>
              <w:bottom w:w="60" w:type="dxa"/>
              <w:right w:w="120" w:type="dxa"/>
            </w:tcMar>
            <w:vAlign w:val="center"/>
          </w:tcPr>
          <w:p w14:paraId="604A99D4">
            <w:r>
              <w:rPr>
                <w:sz w:val="20"/>
                <w:szCs w:val="20"/>
              </w:rPr>
              <w:t>$71,951</w:t>
            </w:r>
          </w:p>
        </w:tc>
        <w:tc>
          <w:tcPr>
            <w:tcW w:w="2000" w:type="dxa"/>
            <w:shd w:val="clear" w:color="auto" w:fill="FFFFFF"/>
            <w:tcMar>
              <w:top w:w="60" w:type="dxa"/>
              <w:left w:w="120" w:type="dxa"/>
              <w:bottom w:w="60" w:type="dxa"/>
              <w:right w:w="120" w:type="dxa"/>
            </w:tcMar>
            <w:vAlign w:val="center"/>
          </w:tcPr>
          <w:p w14:paraId="29DD1343">
            <w:r>
              <w:rPr>
                <w:sz w:val="20"/>
                <w:szCs w:val="20"/>
              </w:rPr>
              <w:t>~24%</w:t>
            </w:r>
          </w:p>
        </w:tc>
      </w:tr>
      <w:tr w14:paraId="4516B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shd w:val="clear" w:color="auto" w:fill="F4F6F8"/>
            <w:tcMar>
              <w:top w:w="60" w:type="dxa"/>
              <w:left w:w="120" w:type="dxa"/>
              <w:bottom w:w="60" w:type="dxa"/>
              <w:right w:w="120" w:type="dxa"/>
            </w:tcMar>
            <w:vAlign w:val="center"/>
          </w:tcPr>
          <w:p w14:paraId="161AD5F1">
            <w:r>
              <w:rPr>
                <w:sz w:val="20"/>
                <w:szCs w:val="20"/>
              </w:rPr>
              <w:t>Google Ads</w:t>
            </w:r>
          </w:p>
        </w:tc>
        <w:tc>
          <w:tcPr>
            <w:tcW w:w="2600" w:type="dxa"/>
            <w:shd w:val="clear" w:color="auto" w:fill="F4F6F8"/>
            <w:tcMar>
              <w:top w:w="60" w:type="dxa"/>
              <w:left w:w="120" w:type="dxa"/>
              <w:bottom w:w="60" w:type="dxa"/>
              <w:right w:w="120" w:type="dxa"/>
            </w:tcMar>
            <w:vAlign w:val="center"/>
          </w:tcPr>
          <w:p w14:paraId="1AB69C2A">
            <w:r>
              <w:rPr>
                <w:sz w:val="20"/>
                <w:szCs w:val="20"/>
              </w:rPr>
              <w:t>$428,853</w:t>
            </w:r>
          </w:p>
        </w:tc>
        <w:tc>
          <w:tcPr>
            <w:tcW w:w="2600" w:type="dxa"/>
            <w:shd w:val="clear" w:color="auto" w:fill="F4F6F8"/>
            <w:tcMar>
              <w:top w:w="60" w:type="dxa"/>
              <w:left w:w="120" w:type="dxa"/>
              <w:bottom w:w="60" w:type="dxa"/>
              <w:right w:w="120" w:type="dxa"/>
            </w:tcMar>
            <w:vAlign w:val="center"/>
          </w:tcPr>
          <w:p w14:paraId="469F2C43">
            <w:r>
              <w:rPr>
                <w:sz w:val="20"/>
                <w:szCs w:val="20"/>
              </w:rPr>
              <w:t>$93,216</w:t>
            </w:r>
          </w:p>
        </w:tc>
        <w:tc>
          <w:tcPr>
            <w:tcW w:w="2000" w:type="dxa"/>
            <w:shd w:val="clear" w:color="auto" w:fill="F4F6F8"/>
            <w:tcMar>
              <w:top w:w="60" w:type="dxa"/>
              <w:left w:w="120" w:type="dxa"/>
              <w:bottom w:w="60" w:type="dxa"/>
              <w:right w:w="120" w:type="dxa"/>
            </w:tcMar>
            <w:vAlign w:val="center"/>
          </w:tcPr>
          <w:p w14:paraId="0AE0EDA7">
            <w:r>
              <w:rPr>
                <w:sz w:val="20"/>
                <w:szCs w:val="20"/>
              </w:rPr>
              <w:t>~22%</w:t>
            </w:r>
          </w:p>
        </w:tc>
      </w:tr>
      <w:tr w14:paraId="1FB9D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shd w:val="clear" w:color="auto" w:fill="FFFFFF"/>
            <w:tcMar>
              <w:top w:w="60" w:type="dxa"/>
              <w:left w:w="120" w:type="dxa"/>
              <w:bottom w:w="60" w:type="dxa"/>
              <w:right w:w="120" w:type="dxa"/>
            </w:tcMar>
            <w:vAlign w:val="center"/>
          </w:tcPr>
          <w:p w14:paraId="66F46F5A">
            <w:r>
              <w:rPr>
                <w:sz w:val="20"/>
                <w:szCs w:val="20"/>
              </w:rPr>
              <w:t>TV</w:t>
            </w:r>
          </w:p>
        </w:tc>
        <w:tc>
          <w:tcPr>
            <w:tcW w:w="2600" w:type="dxa"/>
            <w:shd w:val="clear" w:color="auto" w:fill="FFFFFF"/>
            <w:tcMar>
              <w:top w:w="60" w:type="dxa"/>
              <w:left w:w="120" w:type="dxa"/>
              <w:bottom w:w="60" w:type="dxa"/>
              <w:right w:w="120" w:type="dxa"/>
            </w:tcMar>
            <w:vAlign w:val="center"/>
          </w:tcPr>
          <w:p w14:paraId="4DE24DB0">
            <w:r>
              <w:rPr>
                <w:sz w:val="20"/>
                <w:szCs w:val="20"/>
              </w:rPr>
              <w:t>$225,785</w:t>
            </w:r>
          </w:p>
        </w:tc>
        <w:tc>
          <w:tcPr>
            <w:tcW w:w="2600" w:type="dxa"/>
            <w:shd w:val="clear" w:color="auto" w:fill="FFFFFF"/>
            <w:tcMar>
              <w:top w:w="60" w:type="dxa"/>
              <w:left w:w="120" w:type="dxa"/>
              <w:bottom w:w="60" w:type="dxa"/>
              <w:right w:w="120" w:type="dxa"/>
            </w:tcMar>
            <w:vAlign w:val="center"/>
          </w:tcPr>
          <w:p w14:paraId="10F4861C">
            <w:r>
              <w:rPr>
                <w:sz w:val="20"/>
                <w:szCs w:val="20"/>
              </w:rPr>
              <w:t>$51,779</w:t>
            </w:r>
          </w:p>
        </w:tc>
        <w:tc>
          <w:tcPr>
            <w:tcW w:w="2000" w:type="dxa"/>
            <w:shd w:val="clear" w:color="auto" w:fill="FFFFFF"/>
            <w:tcMar>
              <w:top w:w="60" w:type="dxa"/>
              <w:left w:w="120" w:type="dxa"/>
              <w:bottom w:w="60" w:type="dxa"/>
              <w:right w:w="120" w:type="dxa"/>
            </w:tcMar>
            <w:vAlign w:val="center"/>
          </w:tcPr>
          <w:p w14:paraId="2EE68001">
            <w:r>
              <w:rPr>
                <w:sz w:val="20"/>
                <w:szCs w:val="20"/>
              </w:rPr>
              <w:t>~23%</w:t>
            </w:r>
          </w:p>
        </w:tc>
      </w:tr>
      <w:tr w14:paraId="7FDC8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shd w:val="clear" w:color="auto" w:fill="F4F6F8"/>
            <w:tcMar>
              <w:top w:w="60" w:type="dxa"/>
              <w:left w:w="120" w:type="dxa"/>
              <w:bottom w:w="60" w:type="dxa"/>
              <w:right w:w="120" w:type="dxa"/>
            </w:tcMar>
            <w:vAlign w:val="center"/>
          </w:tcPr>
          <w:p w14:paraId="61D1E118">
            <w:r>
              <w:rPr>
                <w:sz w:val="20"/>
                <w:szCs w:val="20"/>
              </w:rPr>
              <w:t>YouTube</w:t>
            </w:r>
          </w:p>
        </w:tc>
        <w:tc>
          <w:tcPr>
            <w:tcW w:w="2600" w:type="dxa"/>
            <w:shd w:val="clear" w:color="auto" w:fill="F4F6F8"/>
            <w:tcMar>
              <w:top w:w="60" w:type="dxa"/>
              <w:left w:w="120" w:type="dxa"/>
              <w:bottom w:w="60" w:type="dxa"/>
              <w:right w:w="120" w:type="dxa"/>
            </w:tcMar>
            <w:vAlign w:val="center"/>
          </w:tcPr>
          <w:p w14:paraId="5F546E1D">
            <w:r>
              <w:rPr>
                <w:sz w:val="20"/>
                <w:szCs w:val="20"/>
              </w:rPr>
              <w:t>$201,385</w:t>
            </w:r>
          </w:p>
        </w:tc>
        <w:tc>
          <w:tcPr>
            <w:tcW w:w="2600" w:type="dxa"/>
            <w:shd w:val="clear" w:color="auto" w:fill="F4F6F8"/>
            <w:tcMar>
              <w:top w:w="60" w:type="dxa"/>
              <w:left w:w="120" w:type="dxa"/>
              <w:bottom w:w="60" w:type="dxa"/>
              <w:right w:w="120" w:type="dxa"/>
            </w:tcMar>
            <w:vAlign w:val="center"/>
          </w:tcPr>
          <w:p w14:paraId="378B4FB7">
            <w:r>
              <w:rPr>
                <w:sz w:val="20"/>
                <w:szCs w:val="20"/>
              </w:rPr>
              <w:t>$41,591</w:t>
            </w:r>
          </w:p>
        </w:tc>
        <w:tc>
          <w:tcPr>
            <w:tcW w:w="2000" w:type="dxa"/>
            <w:shd w:val="clear" w:color="auto" w:fill="F4F6F8"/>
            <w:tcMar>
              <w:top w:w="60" w:type="dxa"/>
              <w:left w:w="120" w:type="dxa"/>
              <w:bottom w:w="60" w:type="dxa"/>
              <w:right w:w="120" w:type="dxa"/>
            </w:tcMar>
            <w:vAlign w:val="center"/>
          </w:tcPr>
          <w:p w14:paraId="33278DF6">
            <w:r>
              <w:rPr>
                <w:sz w:val="20"/>
                <w:szCs w:val="20"/>
              </w:rPr>
              <w:t>~21%</w:t>
            </w:r>
          </w:p>
        </w:tc>
      </w:tr>
      <w:tr w14:paraId="603B6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shd w:val="clear" w:color="auto" w:fill="FFFFFF"/>
            <w:tcMar>
              <w:top w:w="60" w:type="dxa"/>
              <w:left w:w="120" w:type="dxa"/>
              <w:bottom w:w="60" w:type="dxa"/>
              <w:right w:w="120" w:type="dxa"/>
            </w:tcMar>
            <w:vAlign w:val="center"/>
          </w:tcPr>
          <w:p w14:paraId="5BCDDAC1">
            <w:r>
              <w:rPr>
                <w:sz w:val="20"/>
                <w:szCs w:val="20"/>
              </w:rPr>
              <w:t>Newspaper</w:t>
            </w:r>
          </w:p>
        </w:tc>
        <w:tc>
          <w:tcPr>
            <w:tcW w:w="2600" w:type="dxa"/>
            <w:shd w:val="clear" w:color="auto" w:fill="FFFFFF"/>
            <w:tcMar>
              <w:top w:w="60" w:type="dxa"/>
              <w:left w:w="120" w:type="dxa"/>
              <w:bottom w:w="60" w:type="dxa"/>
              <w:right w:w="120" w:type="dxa"/>
            </w:tcMar>
            <w:vAlign w:val="center"/>
          </w:tcPr>
          <w:p w14:paraId="215EB351">
            <w:r>
              <w:rPr>
                <w:sz w:val="20"/>
                <w:szCs w:val="20"/>
              </w:rPr>
              <w:t>$32,201</w:t>
            </w:r>
          </w:p>
        </w:tc>
        <w:tc>
          <w:tcPr>
            <w:tcW w:w="2600" w:type="dxa"/>
            <w:shd w:val="clear" w:color="auto" w:fill="FFFFFF"/>
            <w:tcMar>
              <w:top w:w="60" w:type="dxa"/>
              <w:left w:w="120" w:type="dxa"/>
              <w:bottom w:w="60" w:type="dxa"/>
              <w:right w:w="120" w:type="dxa"/>
            </w:tcMar>
            <w:vAlign w:val="center"/>
          </w:tcPr>
          <w:p w14:paraId="5A9F3BE4">
            <w:r>
              <w:rPr>
                <w:sz w:val="20"/>
                <w:szCs w:val="20"/>
              </w:rPr>
              <w:t>$7,377</w:t>
            </w:r>
          </w:p>
        </w:tc>
        <w:tc>
          <w:tcPr>
            <w:tcW w:w="2000" w:type="dxa"/>
            <w:shd w:val="clear" w:color="auto" w:fill="FFFFFF"/>
            <w:tcMar>
              <w:top w:w="60" w:type="dxa"/>
              <w:left w:w="120" w:type="dxa"/>
              <w:bottom w:w="60" w:type="dxa"/>
              <w:right w:w="120" w:type="dxa"/>
            </w:tcMar>
            <w:vAlign w:val="center"/>
          </w:tcPr>
          <w:p w14:paraId="11DA341B">
            <w:r>
              <w:rPr>
                <w:sz w:val="20"/>
                <w:szCs w:val="20"/>
              </w:rPr>
              <w:t>~23%</w:t>
            </w:r>
          </w:p>
        </w:tc>
      </w:tr>
      <w:tr w14:paraId="1B74B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shd w:val="clear" w:color="auto" w:fill="F4F6F8"/>
            <w:tcMar>
              <w:top w:w="60" w:type="dxa"/>
              <w:left w:w="120" w:type="dxa"/>
              <w:bottom w:w="60" w:type="dxa"/>
              <w:right w:w="120" w:type="dxa"/>
            </w:tcMar>
            <w:vAlign w:val="center"/>
          </w:tcPr>
          <w:p w14:paraId="25464B89">
            <w:r>
              <w:rPr>
                <w:sz w:val="20"/>
                <w:szCs w:val="20"/>
              </w:rPr>
              <w:t>Influencer</w:t>
            </w:r>
          </w:p>
        </w:tc>
        <w:tc>
          <w:tcPr>
            <w:tcW w:w="2600" w:type="dxa"/>
            <w:shd w:val="clear" w:color="auto" w:fill="F4F6F8"/>
            <w:tcMar>
              <w:top w:w="60" w:type="dxa"/>
              <w:left w:w="120" w:type="dxa"/>
              <w:bottom w:w="60" w:type="dxa"/>
              <w:right w:w="120" w:type="dxa"/>
            </w:tcMar>
            <w:vAlign w:val="center"/>
          </w:tcPr>
          <w:p w14:paraId="25CC40EC">
            <w:r>
              <w:rPr>
                <w:sz w:val="20"/>
                <w:szCs w:val="20"/>
              </w:rPr>
              <w:t>$151,465</w:t>
            </w:r>
          </w:p>
        </w:tc>
        <w:tc>
          <w:tcPr>
            <w:tcW w:w="2600" w:type="dxa"/>
            <w:shd w:val="clear" w:color="auto" w:fill="F4F6F8"/>
            <w:tcMar>
              <w:top w:w="60" w:type="dxa"/>
              <w:left w:w="120" w:type="dxa"/>
              <w:bottom w:w="60" w:type="dxa"/>
              <w:right w:w="120" w:type="dxa"/>
            </w:tcMar>
            <w:vAlign w:val="center"/>
          </w:tcPr>
          <w:p w14:paraId="783687A2">
            <w:r>
              <w:rPr>
                <w:sz w:val="20"/>
                <w:szCs w:val="20"/>
              </w:rPr>
              <w:t>$31,375</w:t>
            </w:r>
          </w:p>
        </w:tc>
        <w:tc>
          <w:tcPr>
            <w:tcW w:w="2000" w:type="dxa"/>
            <w:shd w:val="clear" w:color="auto" w:fill="F4F6F8"/>
            <w:tcMar>
              <w:top w:w="60" w:type="dxa"/>
              <w:left w:w="120" w:type="dxa"/>
              <w:bottom w:w="60" w:type="dxa"/>
              <w:right w:w="120" w:type="dxa"/>
            </w:tcMar>
            <w:vAlign w:val="center"/>
          </w:tcPr>
          <w:p w14:paraId="4C05A883">
            <w:r>
              <w:rPr>
                <w:sz w:val="20"/>
                <w:szCs w:val="20"/>
              </w:rPr>
              <w:t>~21%</w:t>
            </w:r>
          </w:p>
        </w:tc>
      </w:tr>
      <w:tr w14:paraId="52F3D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shd w:val="clear" w:color="auto" w:fill="FFFFFF"/>
            <w:tcMar>
              <w:top w:w="60" w:type="dxa"/>
              <w:left w:w="120" w:type="dxa"/>
              <w:bottom w:w="60" w:type="dxa"/>
              <w:right w:w="120" w:type="dxa"/>
            </w:tcMar>
            <w:vAlign w:val="center"/>
          </w:tcPr>
          <w:p w14:paraId="0510F319">
            <w:r>
              <w:rPr>
                <w:sz w:val="20"/>
                <w:szCs w:val="20"/>
              </w:rPr>
              <w:t>OTT</w:t>
            </w:r>
          </w:p>
        </w:tc>
        <w:tc>
          <w:tcPr>
            <w:tcW w:w="2600" w:type="dxa"/>
            <w:shd w:val="clear" w:color="auto" w:fill="FFFFFF"/>
            <w:tcMar>
              <w:top w:w="60" w:type="dxa"/>
              <w:left w:w="120" w:type="dxa"/>
              <w:bottom w:w="60" w:type="dxa"/>
              <w:right w:w="120" w:type="dxa"/>
            </w:tcMar>
            <w:vAlign w:val="center"/>
          </w:tcPr>
          <w:p w14:paraId="79884067">
            <w:r>
              <w:rPr>
                <w:sz w:val="20"/>
                <w:szCs w:val="20"/>
              </w:rPr>
              <w:t>$246,252</w:t>
            </w:r>
          </w:p>
        </w:tc>
        <w:tc>
          <w:tcPr>
            <w:tcW w:w="2600" w:type="dxa"/>
            <w:shd w:val="clear" w:color="auto" w:fill="FFFFFF"/>
            <w:tcMar>
              <w:top w:w="60" w:type="dxa"/>
              <w:left w:w="120" w:type="dxa"/>
              <w:bottom w:w="60" w:type="dxa"/>
              <w:right w:w="120" w:type="dxa"/>
            </w:tcMar>
            <w:vAlign w:val="center"/>
          </w:tcPr>
          <w:p w14:paraId="7584BE91">
            <w:r>
              <w:rPr>
                <w:sz w:val="20"/>
                <w:szCs w:val="20"/>
              </w:rPr>
              <w:t>$57,737</w:t>
            </w:r>
          </w:p>
        </w:tc>
        <w:tc>
          <w:tcPr>
            <w:tcW w:w="2000" w:type="dxa"/>
            <w:shd w:val="clear" w:color="auto" w:fill="FFFFFF"/>
            <w:tcMar>
              <w:top w:w="60" w:type="dxa"/>
              <w:left w:w="120" w:type="dxa"/>
              <w:bottom w:w="60" w:type="dxa"/>
              <w:right w:w="120" w:type="dxa"/>
            </w:tcMar>
            <w:vAlign w:val="center"/>
          </w:tcPr>
          <w:p w14:paraId="62CD6D0F">
            <w:r>
              <w:rPr>
                <w:sz w:val="20"/>
                <w:szCs w:val="20"/>
              </w:rPr>
              <w:t>~23%</w:t>
            </w:r>
          </w:p>
        </w:tc>
      </w:tr>
    </w:tbl>
    <w:p w14:paraId="6B562D71">
      <w:pPr>
        <w:spacing w:after="200"/>
      </w:pPr>
    </w:p>
    <w:p w14:paraId="533E5F51">
      <w:pPr>
        <w:pStyle w:val="3"/>
        <w:spacing w:before="240" w:after="120"/>
      </w:pPr>
      <w:r>
        <w:rPr>
          <w:b/>
          <w:bCs/>
          <w:color w:val="1F3864"/>
        </w:rPr>
        <w:t>D. Terminal Output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60"/>
      </w:tblGrid>
      <w:tr w14:paraId="15993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3864" w:sz="4" w:space="0"/>
              <w:left w:val="single" w:color="1F3864" w:sz="4" w:space="0"/>
              <w:bottom w:val="single" w:color="1F3864" w:sz="4" w:space="0"/>
              <w:right w:val="single" w:color="1F3864" w:sz="4" w:space="0"/>
            </w:tcBorders>
            <w:shd w:val="clear" w:color="auto" w:fill="EDF2F8"/>
            <w:tcMar>
              <w:top w:w="150" w:type="dxa"/>
              <w:left w:w="200" w:type="dxa"/>
              <w:bottom w:w="150" w:type="dxa"/>
              <w:right w:w="200" w:type="dxa"/>
            </w:tcMar>
          </w:tcPr>
          <w:p w14:paraId="2EE5944A">
            <w:pPr>
              <w:spacing w:after="80"/>
            </w:pPr>
            <w:r>
              <w:rPr>
                <w:b/>
                <w:bCs/>
                <w:color w:val="1F3864"/>
              </w:rPr>
              <w:t>Placeholder — insert your own screenshot</w:t>
            </w:r>
          </w:p>
          <w:p w14:paraId="40B01402">
            <w:pPr>
              <w:spacing w:after="0" w:line="280" w:lineRule="auto"/>
            </w:pPr>
            <w:r>
              <w:t>Add a screenshot of the pipeline running successfully in your terminal (e.g., the console output showing data loading, cleaning steps, and the final "DONE" message). Insert the image directly below this box in Word.</w:t>
            </w:r>
          </w:p>
        </w:tc>
      </w:tr>
    </w:tbl>
    <w:p w14:paraId="4D10E1ED">
      <w:pPr>
        <w:spacing w:after="400"/>
      </w:pPr>
    </w:p>
    <w:p w14:paraId="5CDA369A">
      <w:pPr>
        <w:pStyle w:val="3"/>
        <w:spacing w:before="240" w:after="120"/>
      </w:pPr>
      <w:r>
        <w:rPr>
          <w:b/>
          <w:bCs/>
          <w:color w:val="1F3864"/>
        </w:rPr>
        <w:t>E. Repository / Project Structure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60"/>
      </w:tblGrid>
      <w:tr w14:paraId="5B6A3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3864" w:sz="4" w:space="0"/>
              <w:left w:val="single" w:color="1F3864" w:sz="4" w:space="0"/>
              <w:bottom w:val="single" w:color="1F3864" w:sz="4" w:space="0"/>
              <w:right w:val="single" w:color="1F3864" w:sz="4" w:space="0"/>
            </w:tcBorders>
            <w:shd w:val="clear" w:color="auto" w:fill="EDF2F8"/>
            <w:tcMar>
              <w:top w:w="150" w:type="dxa"/>
              <w:left w:w="200" w:type="dxa"/>
              <w:bottom w:w="150" w:type="dxa"/>
              <w:right w:w="200" w:type="dxa"/>
            </w:tcMar>
          </w:tcPr>
          <w:p w14:paraId="7FF17136">
            <w:pPr>
              <w:spacing w:after="80"/>
            </w:pPr>
            <w:r>
              <w:rPr>
                <w:b/>
                <w:bCs/>
                <w:color w:val="1F3864"/>
              </w:rPr>
              <w:t>Placeholder — insert your own screenshot</w:t>
            </w:r>
          </w:p>
          <w:p w14:paraId="175939C7">
            <w:pPr>
              <w:spacing w:after="0" w:line="280" w:lineRule="auto"/>
            </w:pPr>
            <w:r>
              <w:t>Add a screenshot of your project's file structure or GitHub repository (e.g., showing mmm_ridge_baseline.py, the cleaned dataset, and the output/ folder of charts). Insert the image directly below this box in Word.</w:t>
            </w:r>
          </w:p>
        </w:tc>
      </w:tr>
    </w:tbl>
    <w:p w14:paraId="7CB8B58A">
      <w:pPr>
        <w:spacing w:after="400"/>
      </w:pP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659DE">
    <w:pPr>
      <w:jc w:val="center"/>
    </w:pPr>
    <w:r>
      <w:rPr>
        <w:color w:val="595959"/>
        <w:sz w:val="16"/>
        <w:szCs w:val="16"/>
      </w:rPr>
      <w:t xml:space="preserve">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334F8">
    <w:pPr>
      <w:jc w:val="right"/>
    </w:pPr>
    <w:r>
      <w:rPr>
        <w:color w:val="595959"/>
        <w:sz w:val="16"/>
        <w:szCs w:val="16"/>
      </w:rPr>
      <w:t>Marketing Mix Modeling —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DF462D"/>
    <w:multiLevelType w:val="singleLevel"/>
    <w:tmpl w:val="0FDF462D"/>
    <w:lvl w:ilvl="0" w:tentative="0">
      <w:start w:val="1"/>
      <w:numFmt w:val="bullet"/>
      <w:lvlText w:val="•"/>
      <w:lvlJc w:val="left"/>
      <w:pPr>
        <w:ind w:left="4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0C431D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946</Words>
  <Characters>5271</Characters>
  <TotalTime>1</TotalTime>
  <ScaleCrop>false</ScaleCrop>
  <LinksUpToDate>false</LinksUpToDate>
  <CharactersWithSpaces>6151</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2026-07-12T21:11:00Z</dcterms:created>
  <dc:creator>Un-named</dc:creator>
  <cp:lastModifiedBy>Aman Usman</cp:lastModifiedBy>
  <dcterms:modified xsi:type="dcterms:W3CDTF">2026-07-27T10:14:34Z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eyJoZGlkIjoiODBlZTI3N2MwNDQ4Y2YxZWQ5OWFjM2FkYzk3ZTI5MDcifQ==</vt:lpwstr>
  </property>
  <property fmtid="{D5CDD505-2E9C-101B-9397-08002B2CF9AE}" pid="3" name="KSOProductBuildVer">
    <vt:lpwstr>1033-12.1.0.27458</vt:lpwstr>
  </property>
  <property fmtid="{D5CDD505-2E9C-101B-9397-08002B2CF9AE}" pid="4" name="ICV">
    <vt:lpwstr>50C57129BBB14D48818091150D72154B_12</vt:lpwstr>
  </property>
</Properties>
</file>