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Evaluation Strategy &amp; Metric Report</w:t>
      </w:r>
    </w:p>
    <w:p>
      <w:pPr>
        <w:pStyle w:val="IntenseQuote"/>
      </w:pPr>
      <w:r>
        <w:rPr>
          <w:b/>
        </w:rPr>
        <w:t>Two evaluations.</w:t>
      </w:r>
      <w:r>
        <w:rPr/>
        <w:t xml:space="preserve"> Precision, recall and F1 (sections 3.1–3.4) are measured on the annotated </w:t>
      </w:r>
      <w:r>
        <w:rPr>
          <w:b/>
        </w:rPr>
        <w:t>RHP-style benchmark</w:t>
      </w:r>
      <w:r>
        <w:rPr/>
        <w:t xml:space="preserve"> (</w:t>
      </w:r>
      <w:r>
        <w:rPr>
          <w:rFonts w:ascii="Consolas" w:hAnsi="Consolas" w:eastAsia="Consolas"/>
          <w:color w:val="A31515"/>
        </w:rPr>
        <w:t>eval/data/benchmark_rhp.docx</w:t>
      </w:r>
      <w:r>
        <w:rPr/>
        <w:t xml:space="preserve"> + </w:t>
      </w:r>
      <w:r>
        <w:rPr>
          <w:rFonts w:ascii="Consolas" w:hAnsi="Consolas" w:eastAsia="Consolas"/>
          <w:color w:val="A31515"/>
        </w:rPr>
        <w:t>ground_truth.json</w:t>
      </w:r>
      <w:r>
        <w:rPr/>
        <w:t xml:space="preserve">, 75 entities, 43 false-positive traps), which reproduces the entity types and layouts of the KSH International RHP. The </w:t>
      </w:r>
      <w:r>
        <w:rPr>
          <w:b/>
        </w:rPr>
        <w:t xml:space="preserve">real </w:t>
      </w:r>
      <w:r>
        <w:rPr>
          <w:rFonts w:ascii="Consolas" w:hAnsi="Consolas" w:eastAsia="Consolas"/>
          <w:b/>
          <w:color w:val="A31515"/>
        </w:rPr>
        <w:t>Red Herring Prospectus.docx</w:t>
      </w:r>
      <w:r>
        <w:rPr/>
        <w:t xml:space="preserve"> (section 3.5) has no ground truth, so it is reported with run statistics, a structural diff and an automated self-leak audit. P/R/F1 on it need the annotation workflow in section 6.</w:t>
      </w:r>
    </w:p>
    <w:p>
      <w:pPr>
        <w:pStyle w:val="Heading1"/>
      </w:pPr>
      <w:r>
        <w:rPr/>
        <w:t>1. What we measure (and why)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Question</w:t>
            </w:r>
          </w:p>
        </w:tc>
        <w:tc>
          <w:tcPr>
            <w:tcW w:type="dxa" w:w="3324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Metric</w:t>
            </w:r>
          </w:p>
        </w:tc>
        <w:tc>
          <w:tcPr>
            <w:tcW w:type="dxa" w:w="3324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How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 xml:space="preserve">Did we </w:t>
            </w:r>
            <w:r>
              <w:rPr>
                <w:i/>
                <w:sz w:val="18"/>
              </w:rPr>
              <w:t>find</w:t>
            </w:r>
            <w:r>
              <w:rPr>
                <w:sz w:val="18"/>
              </w:rPr>
              <w:t xml:space="preserve"> the PII?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Precision / Recall / F1 per class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 xml:space="preserve">Entity-level on unique values. </w:t>
            </w:r>
            <w:r>
              <w:rPr>
                <w:b/>
                <w:sz w:val="18"/>
              </w:rPr>
              <w:t>Strict</w:t>
            </w:r>
            <w:r>
              <w:rPr>
                <w:sz w:val="18"/>
              </w:rPr>
              <w:t xml:space="preserve"> = normalised string equality. </w:t>
            </w:r>
            <w:r>
              <w:rPr>
                <w:b/>
                <w:sz w:val="18"/>
              </w:rPr>
              <w:t>Lenient</w:t>
            </w:r>
            <w:r>
              <w:rPr>
                <w:sz w:val="18"/>
              </w:rPr>
              <w:t xml:space="preserve"> = containment (≥50% length) or, for addresses, ≥80% token coverage by same-class pieces (OCR splits addresses into lines)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"Accuracy"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TP/(TP+FP+FN)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Span extraction has no meaningful true negatives, so classic accuracy is undefined. We report the Jaccard/CSI form instead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 xml:space="preserve">Did PII </w:t>
            </w:r>
            <w:r>
              <w:rPr>
                <w:i/>
                <w:sz w:val="18"/>
              </w:rPr>
              <w:t>leave</w:t>
            </w:r>
            <w:r>
              <w:rPr>
                <w:sz w:val="18"/>
              </w:rPr>
              <w:t xml:space="preserve"> the file?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End-to-end redaction recall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 xml:space="preserve">Every GT value, including back-references ("Mr. Hegde"), comment authors and tracked deletions, is searched for in the </w:t>
            </w:r>
            <w:r>
              <w:rPr>
                <w:b/>
                <w:sz w:val="18"/>
              </w:rPr>
              <w:t>output package</w:t>
            </w:r>
            <w:r>
              <w:rPr>
                <w:sz w:val="18"/>
              </w:rPr>
              <w:t xml:space="preserve">: re-joined paragraph text, every other XML text node and attribute, hyperlink targets, and </w:t>
            </w:r>
            <w:r>
              <w:rPr>
                <w:b/>
                <w:sz w:val="18"/>
              </w:rPr>
              <w:t>OCR of the output images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Partial leaks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Token leak list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Does any distinctive token of a name/org (≥4 chars) survive anywhere?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Did we destroy non-PII?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Over-redaction rate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43 trap strings (statutory terms, exchanges, ISIN, ₹ amounts, offer dates, section numbers, version numbers, 26 boilerplate RHP sentences) must survive verbatim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Consistency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1 pseudonym per entity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Each normalised original maps to exactly one fake across text, tables, headers, links and images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Formatting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Structural diff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 xml:space="preserve">Same paragraphs, tables, runs, </w:t>
            </w:r>
            <w:r>
              <w:rPr>
                <w:b/>
                <w:sz w:val="18"/>
              </w:rPr>
              <w:t>run-property signature</w:t>
            </w:r>
            <w:r>
              <w:rPr>
                <w:sz w:val="18"/>
              </w:rPr>
              <w:t>, images, hyperlinks and sections before and after</w:t>
            </w:r>
          </w:p>
        </w:tc>
      </w:tr>
    </w:tbl>
    <w:p>
      <w:pPr>
        <w:spacing w:after="40"/>
      </w:pPr>
    </w:p>
    <w:p>
      <w:r>
        <w:rPr/>
        <w:t xml:space="preserve">Detection vs leak test: detection scores the detector alone. The leak test scores the </w:t>
      </w:r>
      <w:r>
        <w:rPr>
          <w:b/>
        </w:rPr>
        <w:t>product</w:t>
      </w:r>
      <w:r>
        <w:rPr/>
        <w:t>: two-pass propagation, hyperlinks, metadata and images included. A detection miss can still be redacted (</w:t>
      </w:r>
      <w:r>
        <w:rPr>
          <w:rFonts w:ascii="Consolas" w:hAnsi="Consolas" w:eastAsia="Consolas"/>
          <w:color w:val="A31515"/>
        </w:rPr>
        <w:t>rakhi shetty</w:t>
      </w:r>
      <w:r>
        <w:rPr/>
        <w:t>), and a detection hit can still leak if the writer fails (never observed: see section 4).</w:t>
      </w:r>
    </w:p>
    <w:p>
      <w:pPr>
        <w:pStyle w:val="Heading1"/>
      </w:pPr>
      <w:r>
        <w:rPr/>
        <w:t>2. Benchmark dataset (annotated ground truth)</w:t>
      </w:r>
    </w:p>
    <w:p>
      <w:r>
        <w:rPr>
          <w:rFonts w:ascii="Consolas" w:hAnsi="Consolas" w:eastAsia="Consolas"/>
          <w:color w:val="A31515"/>
        </w:rPr>
        <w:t>eval/build_benchmark.py</w:t>
      </w:r>
      <w:r>
        <w:rPr/>
        <w:t xml:space="preserve"> annotates every PII value at the moment it's written, so the ground truth can't drift.</w:t>
      </w:r>
    </w:p>
    <w:p>
      <w:pPr>
        <w:pStyle w:val="ListBullet"/>
      </w:pPr>
      <w:r>
        <w:rPr>
          <w:b/>
        </w:rPr>
        <w:t>75 annotated entities</w:t>
      </w:r>
      <w:r>
        <w:rPr/>
        <w:t xml:space="preserve">: 18 names (including ALL-CAPS cover-page promoters, a split-run name, a lower-case name, an unseen name, a surname-only back-reference, a tracked-change author, a comment author and 4 names on ID scans), 8 organisations, 21 identifiers (CIN in body + footer, 5 DINs, 6 PANs, 3 SEBI numbers, GSTIN, Aadhaar, passport, SSN, 2 IPs), 3 financial, 6 addresses (including a 3-line address on an Aadhaar scan), 11 contacts (including a </w:t>
      </w:r>
      <w:r>
        <w:rPr>
          <w:rFonts w:ascii="Consolas" w:hAnsi="Consolas" w:eastAsia="Consolas"/>
          <w:color w:val="A31515"/>
        </w:rPr>
        <w:t>mailto:</w:t>
      </w:r>
      <w:r>
        <w:rPr/>
        <w:t xml:space="preserve"> hyperlink whose text is split across 3 runs), 8 dates of birth (table, prose and scans).</w:t>
      </w:r>
    </w:p>
    <w:p>
      <w:pPr>
        <w:pStyle w:val="ListBullet"/>
      </w:pPr>
      <w:r>
        <w:rPr>
          <w:b/>
        </w:rPr>
        <w:t>Locations</w:t>
      </w:r>
      <w:r>
        <w:rPr/>
        <w:t xml:space="preserve">: body, tables (column-header and key/value), header, footer, hyperlink targets, </w:t>
      </w:r>
      <w:r>
        <w:rPr>
          <w:rFonts w:ascii="Consolas" w:hAnsi="Consolas" w:eastAsia="Consolas"/>
          <w:color w:val="A31515"/>
        </w:rPr>
        <w:t>w:del</w:t>
      </w:r>
      <w:r>
        <w:rPr/>
        <w:t xml:space="preserve"> tracked deletion, comment author, 2 embedded PNG ID cards (one with a QR code).</w:t>
      </w:r>
    </w:p>
    <w:p>
      <w:pPr>
        <w:pStyle w:val="ListBullet"/>
      </w:pPr>
      <w:r>
        <w:rPr>
          <w:b/>
        </w:rPr>
        <w:t>43 negative traps</w:t>
      </w:r>
      <w:r>
        <w:rPr/>
        <w:t xml:space="preserve"> (see section 1).</w:t>
      </w:r>
    </w:p>
    <w:p>
      <w:pPr>
        <w:pStyle w:val="Heading1"/>
      </w:pPr>
      <w:r>
        <w:rPr/>
        <w:t>3. Results</w:t>
      </w:r>
    </w:p>
    <w:p>
      <w:pPr>
        <w:pStyle w:val="Heading2"/>
      </w:pPr>
      <w:r>
        <w:rPr/>
        <w:t>3.1 Detection: lenient matching (primary)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rPr>
          <w:tblHeader w:val="true"/>
        </w:trPr>
        <w:tc>
          <w:tcPr>
            <w:tcW w:type="dxa" w:w="1246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Class</w:t>
            </w:r>
          </w:p>
        </w:tc>
        <w:tc>
          <w:tcPr>
            <w:tcW w:type="dxa" w:w="1246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TP</w:t>
            </w:r>
          </w:p>
        </w:tc>
        <w:tc>
          <w:tcPr>
            <w:tcW w:type="dxa" w:w="1246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FP</w:t>
            </w:r>
          </w:p>
        </w:tc>
        <w:tc>
          <w:tcPr>
            <w:tcW w:type="dxa" w:w="1246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FN</w:t>
            </w:r>
          </w:p>
        </w:tc>
        <w:tc>
          <w:tcPr>
            <w:tcW w:type="dxa" w:w="1246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Precision</w:t>
            </w:r>
          </w:p>
        </w:tc>
        <w:tc>
          <w:tcPr>
            <w:tcW w:type="dxa" w:w="1246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Recall</w:t>
            </w:r>
          </w:p>
        </w:tc>
        <w:tc>
          <w:tcPr>
            <w:tcW w:type="dxa" w:w="1246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F1</w:t>
            </w:r>
          </w:p>
        </w:tc>
        <w:tc>
          <w:tcPr>
            <w:tcW w:type="dxa" w:w="1246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Accuracy (TP/(TP+FP+FN))</w:t>
            </w:r>
          </w:p>
        </w:tc>
      </w:tr>
      <w:tr>
        <w:tc>
          <w:tcPr>
            <w:tcW w:type="dxa" w:w="1246"/>
          </w:tcPr>
          <w:p>
            <w:pPr>
              <w:spacing w:after="0"/>
            </w:pPr>
            <w:r>
              <w:rPr>
                <w:sz w:val="18"/>
              </w:rPr>
              <w:t>Names</w:t>
            </w:r>
          </w:p>
        </w:tc>
        <w:tc>
          <w:tcPr>
            <w:tcW w:type="dxa" w:w="1246"/>
          </w:tcPr>
          <w:p>
            <w:pPr>
              <w:spacing w:after="0"/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type="dxa" w:w="1246"/>
          </w:tcPr>
          <w:p>
            <w:pPr>
              <w:spacing w:after="0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246"/>
          </w:tcPr>
          <w:p>
            <w:pPr>
              <w:spacing w:after="0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246"/>
          </w:tcPr>
          <w:p>
            <w:pPr>
              <w:spacing w:after="0"/>
              <w:jc w:val="center"/>
            </w:pPr>
            <w:r>
              <w:rPr>
                <w:sz w:val="18"/>
              </w:rPr>
              <w:t>1.000</w:t>
            </w:r>
          </w:p>
        </w:tc>
        <w:tc>
          <w:tcPr>
            <w:tcW w:type="dxa" w:w="1246"/>
          </w:tcPr>
          <w:p>
            <w:pPr>
              <w:spacing w:after="0"/>
              <w:jc w:val="center"/>
            </w:pPr>
            <w:r>
              <w:rPr>
                <w:sz w:val="18"/>
              </w:rPr>
              <w:t>0.875</w:t>
            </w:r>
          </w:p>
        </w:tc>
        <w:tc>
          <w:tcPr>
            <w:tcW w:type="dxa" w:w="1246"/>
          </w:tcPr>
          <w:p>
            <w:pPr>
              <w:spacing w:after="0"/>
              <w:jc w:val="center"/>
            </w:pPr>
            <w:r>
              <w:rPr>
                <w:sz w:val="18"/>
              </w:rPr>
              <w:t>0.933</w:t>
            </w:r>
          </w:p>
        </w:tc>
        <w:tc>
          <w:tcPr>
            <w:tcW w:type="dxa" w:w="1246"/>
          </w:tcPr>
          <w:p>
            <w:pPr>
              <w:spacing w:after="0"/>
              <w:jc w:val="center"/>
            </w:pPr>
            <w:r>
              <w:rPr>
                <w:sz w:val="18"/>
              </w:rPr>
              <w:t>0.875</w:t>
            </w:r>
          </w:p>
        </w:tc>
      </w:tr>
      <w:tr>
        <w:tc>
          <w:tcPr>
            <w:tcW w:type="dxa" w:w="1246"/>
          </w:tcPr>
          <w:p>
            <w:pPr>
              <w:spacing w:after="0"/>
            </w:pPr>
            <w:r>
              <w:rPr>
                <w:sz w:val="18"/>
              </w:rPr>
              <w:t>Organizations</w:t>
            </w:r>
          </w:p>
        </w:tc>
        <w:tc>
          <w:tcPr>
            <w:tcW w:type="dxa" w:w="1246"/>
          </w:tcPr>
          <w:p>
            <w:pPr>
              <w:spacing w:after="0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246"/>
          </w:tcPr>
          <w:p>
            <w:pPr>
              <w:spacing w:after="0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246"/>
          </w:tcPr>
          <w:p>
            <w:pPr>
              <w:spacing w:after="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246"/>
          </w:tcPr>
          <w:p>
            <w:pPr>
              <w:spacing w:after="0"/>
              <w:jc w:val="center"/>
            </w:pPr>
            <w:r>
              <w:rPr>
                <w:sz w:val="18"/>
              </w:rPr>
              <w:t>1.000</w:t>
            </w:r>
          </w:p>
        </w:tc>
        <w:tc>
          <w:tcPr>
            <w:tcW w:type="dxa" w:w="1246"/>
          </w:tcPr>
          <w:p>
            <w:pPr>
              <w:spacing w:after="0"/>
              <w:jc w:val="center"/>
            </w:pPr>
            <w:r>
              <w:rPr>
                <w:sz w:val="18"/>
              </w:rPr>
              <w:t>0.875</w:t>
            </w:r>
          </w:p>
        </w:tc>
        <w:tc>
          <w:tcPr>
            <w:tcW w:type="dxa" w:w="1246"/>
          </w:tcPr>
          <w:p>
            <w:pPr>
              <w:spacing w:after="0"/>
              <w:jc w:val="center"/>
            </w:pPr>
            <w:r>
              <w:rPr>
                <w:sz w:val="18"/>
              </w:rPr>
              <w:t>0.933</w:t>
            </w:r>
          </w:p>
        </w:tc>
        <w:tc>
          <w:tcPr>
            <w:tcW w:type="dxa" w:w="1246"/>
          </w:tcPr>
          <w:p>
            <w:pPr>
              <w:spacing w:after="0"/>
              <w:jc w:val="center"/>
            </w:pPr>
            <w:r>
              <w:rPr>
                <w:sz w:val="18"/>
              </w:rPr>
              <w:t>0.875</w:t>
            </w:r>
          </w:p>
        </w:tc>
      </w:tr>
      <w:tr>
        <w:tc>
          <w:tcPr>
            <w:tcW w:type="dxa" w:w="1246"/>
          </w:tcPr>
          <w:p>
            <w:pPr>
              <w:spacing w:after="0"/>
            </w:pPr>
            <w:r>
              <w:rPr>
                <w:sz w:val="18"/>
              </w:rPr>
              <w:t>Identifiers</w:t>
            </w:r>
          </w:p>
        </w:tc>
        <w:tc>
          <w:tcPr>
            <w:tcW w:type="dxa" w:w="1246"/>
          </w:tcPr>
          <w:p>
            <w:pPr>
              <w:spacing w:after="0"/>
              <w:jc w:val="center"/>
            </w:pPr>
            <w:r>
              <w:rPr>
                <w:sz w:val="18"/>
              </w:rPr>
              <w:t>21</w:t>
            </w:r>
          </w:p>
        </w:tc>
        <w:tc>
          <w:tcPr>
            <w:tcW w:type="dxa" w:w="1246"/>
          </w:tcPr>
          <w:p>
            <w:pPr>
              <w:spacing w:after="0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246"/>
          </w:tcPr>
          <w:p>
            <w:pPr>
              <w:spacing w:after="0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246"/>
          </w:tcPr>
          <w:p>
            <w:pPr>
              <w:spacing w:after="0"/>
              <w:jc w:val="center"/>
            </w:pPr>
            <w:r>
              <w:rPr>
                <w:sz w:val="18"/>
              </w:rPr>
              <w:t>1.000</w:t>
            </w:r>
          </w:p>
        </w:tc>
        <w:tc>
          <w:tcPr>
            <w:tcW w:type="dxa" w:w="1246"/>
          </w:tcPr>
          <w:p>
            <w:pPr>
              <w:spacing w:after="0"/>
              <w:jc w:val="center"/>
            </w:pPr>
            <w:r>
              <w:rPr>
                <w:sz w:val="18"/>
              </w:rPr>
              <w:t>1.000</w:t>
            </w:r>
          </w:p>
        </w:tc>
        <w:tc>
          <w:tcPr>
            <w:tcW w:type="dxa" w:w="1246"/>
          </w:tcPr>
          <w:p>
            <w:pPr>
              <w:spacing w:after="0"/>
              <w:jc w:val="center"/>
            </w:pPr>
            <w:r>
              <w:rPr>
                <w:sz w:val="18"/>
              </w:rPr>
              <w:t>1.000</w:t>
            </w:r>
          </w:p>
        </w:tc>
        <w:tc>
          <w:tcPr>
            <w:tcW w:type="dxa" w:w="1246"/>
          </w:tcPr>
          <w:p>
            <w:pPr>
              <w:spacing w:after="0"/>
              <w:jc w:val="center"/>
            </w:pPr>
            <w:r>
              <w:rPr>
                <w:sz w:val="18"/>
              </w:rPr>
              <w:t>1.000</w:t>
            </w:r>
          </w:p>
        </w:tc>
      </w:tr>
      <w:tr>
        <w:tc>
          <w:tcPr>
            <w:tcW w:type="dxa" w:w="1246"/>
          </w:tcPr>
          <w:p>
            <w:pPr>
              <w:spacing w:after="0"/>
            </w:pPr>
            <w:r>
              <w:rPr>
                <w:sz w:val="18"/>
              </w:rPr>
              <w:t>Financial</w:t>
            </w:r>
          </w:p>
        </w:tc>
        <w:tc>
          <w:tcPr>
            <w:tcW w:type="dxa" w:w="1246"/>
          </w:tcPr>
          <w:p>
            <w:pPr>
              <w:spacing w:after="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246"/>
          </w:tcPr>
          <w:p>
            <w:pPr>
              <w:spacing w:after="0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246"/>
          </w:tcPr>
          <w:p>
            <w:pPr>
              <w:spacing w:after="0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246"/>
          </w:tcPr>
          <w:p>
            <w:pPr>
              <w:spacing w:after="0"/>
              <w:jc w:val="center"/>
            </w:pPr>
            <w:r>
              <w:rPr>
                <w:sz w:val="18"/>
              </w:rPr>
              <w:t>1.000</w:t>
            </w:r>
          </w:p>
        </w:tc>
        <w:tc>
          <w:tcPr>
            <w:tcW w:type="dxa" w:w="1246"/>
          </w:tcPr>
          <w:p>
            <w:pPr>
              <w:spacing w:after="0"/>
              <w:jc w:val="center"/>
            </w:pPr>
            <w:r>
              <w:rPr>
                <w:sz w:val="18"/>
              </w:rPr>
              <w:t>1.000</w:t>
            </w:r>
          </w:p>
        </w:tc>
        <w:tc>
          <w:tcPr>
            <w:tcW w:type="dxa" w:w="1246"/>
          </w:tcPr>
          <w:p>
            <w:pPr>
              <w:spacing w:after="0"/>
              <w:jc w:val="center"/>
            </w:pPr>
            <w:r>
              <w:rPr>
                <w:sz w:val="18"/>
              </w:rPr>
              <w:t>1.000</w:t>
            </w:r>
          </w:p>
        </w:tc>
        <w:tc>
          <w:tcPr>
            <w:tcW w:type="dxa" w:w="1246"/>
          </w:tcPr>
          <w:p>
            <w:pPr>
              <w:spacing w:after="0"/>
              <w:jc w:val="center"/>
            </w:pPr>
            <w:r>
              <w:rPr>
                <w:sz w:val="18"/>
              </w:rPr>
              <w:t>1.000</w:t>
            </w:r>
          </w:p>
        </w:tc>
      </w:tr>
      <w:tr>
        <w:tc>
          <w:tcPr>
            <w:tcW w:type="dxa" w:w="1246"/>
          </w:tcPr>
          <w:p>
            <w:pPr>
              <w:spacing w:after="0"/>
            </w:pPr>
            <w:r>
              <w:rPr>
                <w:sz w:val="18"/>
              </w:rPr>
              <w:t>Addresses</w:t>
            </w:r>
          </w:p>
        </w:tc>
        <w:tc>
          <w:tcPr>
            <w:tcW w:type="dxa" w:w="1246"/>
          </w:tcPr>
          <w:p>
            <w:pPr>
              <w:spacing w:after="0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246"/>
          </w:tcPr>
          <w:p>
            <w:pPr>
              <w:spacing w:after="0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246"/>
          </w:tcPr>
          <w:p>
            <w:pPr>
              <w:spacing w:after="0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246"/>
          </w:tcPr>
          <w:p>
            <w:pPr>
              <w:spacing w:after="0"/>
              <w:jc w:val="center"/>
            </w:pPr>
            <w:r>
              <w:rPr>
                <w:sz w:val="18"/>
              </w:rPr>
              <w:t>1.000</w:t>
            </w:r>
          </w:p>
        </w:tc>
        <w:tc>
          <w:tcPr>
            <w:tcW w:type="dxa" w:w="1246"/>
          </w:tcPr>
          <w:p>
            <w:pPr>
              <w:spacing w:after="0"/>
              <w:jc w:val="center"/>
            </w:pPr>
            <w:r>
              <w:rPr>
                <w:sz w:val="18"/>
              </w:rPr>
              <w:t>1.000</w:t>
            </w:r>
          </w:p>
        </w:tc>
        <w:tc>
          <w:tcPr>
            <w:tcW w:type="dxa" w:w="1246"/>
          </w:tcPr>
          <w:p>
            <w:pPr>
              <w:spacing w:after="0"/>
              <w:jc w:val="center"/>
            </w:pPr>
            <w:r>
              <w:rPr>
                <w:sz w:val="18"/>
              </w:rPr>
              <w:t>1.000</w:t>
            </w:r>
          </w:p>
        </w:tc>
        <w:tc>
          <w:tcPr>
            <w:tcW w:type="dxa" w:w="1246"/>
          </w:tcPr>
          <w:p>
            <w:pPr>
              <w:spacing w:after="0"/>
              <w:jc w:val="center"/>
            </w:pPr>
            <w:r>
              <w:rPr>
                <w:sz w:val="18"/>
              </w:rPr>
              <w:t>1.000</w:t>
            </w:r>
          </w:p>
        </w:tc>
      </w:tr>
      <w:tr>
        <w:tc>
          <w:tcPr>
            <w:tcW w:type="dxa" w:w="1246"/>
          </w:tcPr>
          <w:p>
            <w:pPr>
              <w:spacing w:after="0"/>
            </w:pPr>
            <w:r>
              <w:rPr>
                <w:sz w:val="18"/>
              </w:rPr>
              <w:t>Contacts</w:t>
            </w:r>
          </w:p>
        </w:tc>
        <w:tc>
          <w:tcPr>
            <w:tcW w:type="dxa" w:w="1246"/>
          </w:tcPr>
          <w:p>
            <w:pPr>
              <w:spacing w:after="0"/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1246"/>
          </w:tcPr>
          <w:p>
            <w:pPr>
              <w:spacing w:after="0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246"/>
          </w:tcPr>
          <w:p>
            <w:pPr>
              <w:spacing w:after="0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246"/>
          </w:tcPr>
          <w:p>
            <w:pPr>
              <w:spacing w:after="0"/>
              <w:jc w:val="center"/>
            </w:pPr>
            <w:r>
              <w:rPr>
                <w:sz w:val="18"/>
              </w:rPr>
              <w:t>1.000</w:t>
            </w:r>
          </w:p>
        </w:tc>
        <w:tc>
          <w:tcPr>
            <w:tcW w:type="dxa" w:w="1246"/>
          </w:tcPr>
          <w:p>
            <w:pPr>
              <w:spacing w:after="0"/>
              <w:jc w:val="center"/>
            </w:pPr>
            <w:r>
              <w:rPr>
                <w:sz w:val="18"/>
              </w:rPr>
              <w:t>1.000</w:t>
            </w:r>
          </w:p>
        </w:tc>
        <w:tc>
          <w:tcPr>
            <w:tcW w:type="dxa" w:w="1246"/>
          </w:tcPr>
          <w:p>
            <w:pPr>
              <w:spacing w:after="0"/>
              <w:jc w:val="center"/>
            </w:pPr>
            <w:r>
              <w:rPr>
                <w:sz w:val="18"/>
              </w:rPr>
              <w:t>1.000</w:t>
            </w:r>
          </w:p>
        </w:tc>
        <w:tc>
          <w:tcPr>
            <w:tcW w:type="dxa" w:w="1246"/>
          </w:tcPr>
          <w:p>
            <w:pPr>
              <w:spacing w:after="0"/>
              <w:jc w:val="center"/>
            </w:pPr>
            <w:r>
              <w:rPr>
                <w:sz w:val="18"/>
              </w:rPr>
              <w:t>1.000</w:t>
            </w:r>
          </w:p>
        </w:tc>
      </w:tr>
      <w:tr>
        <w:tc>
          <w:tcPr>
            <w:tcW w:type="dxa" w:w="1246"/>
          </w:tcPr>
          <w:p>
            <w:pPr>
              <w:spacing w:after="0"/>
            </w:pPr>
            <w:r>
              <w:rPr>
                <w:sz w:val="18"/>
              </w:rPr>
              <w:t>DOB</w:t>
            </w:r>
          </w:p>
        </w:tc>
        <w:tc>
          <w:tcPr>
            <w:tcW w:type="dxa" w:w="1246"/>
          </w:tcPr>
          <w:p>
            <w:pPr>
              <w:spacing w:after="0"/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1246"/>
          </w:tcPr>
          <w:p>
            <w:pPr>
              <w:spacing w:after="0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246"/>
          </w:tcPr>
          <w:p>
            <w:pPr>
              <w:spacing w:after="0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246"/>
          </w:tcPr>
          <w:p>
            <w:pPr>
              <w:spacing w:after="0"/>
              <w:jc w:val="center"/>
            </w:pPr>
            <w:r>
              <w:rPr>
                <w:sz w:val="18"/>
              </w:rPr>
              <w:t>1.000</w:t>
            </w:r>
          </w:p>
        </w:tc>
        <w:tc>
          <w:tcPr>
            <w:tcW w:type="dxa" w:w="1246"/>
          </w:tcPr>
          <w:p>
            <w:pPr>
              <w:spacing w:after="0"/>
              <w:jc w:val="center"/>
            </w:pPr>
            <w:r>
              <w:rPr>
                <w:sz w:val="18"/>
              </w:rPr>
              <w:t>1.000</w:t>
            </w:r>
          </w:p>
        </w:tc>
        <w:tc>
          <w:tcPr>
            <w:tcW w:type="dxa" w:w="1246"/>
          </w:tcPr>
          <w:p>
            <w:pPr>
              <w:spacing w:after="0"/>
              <w:jc w:val="center"/>
            </w:pPr>
            <w:r>
              <w:rPr>
                <w:sz w:val="18"/>
              </w:rPr>
              <w:t>1.000</w:t>
            </w:r>
          </w:p>
        </w:tc>
        <w:tc>
          <w:tcPr>
            <w:tcW w:type="dxa" w:w="1246"/>
          </w:tcPr>
          <w:p>
            <w:pPr>
              <w:spacing w:after="0"/>
              <w:jc w:val="center"/>
            </w:pPr>
            <w:r>
              <w:rPr>
                <w:sz w:val="18"/>
              </w:rPr>
              <w:t>1.000</w:t>
            </w:r>
          </w:p>
        </w:tc>
      </w:tr>
      <w:tr>
        <w:tc>
          <w:tcPr>
            <w:tcW w:type="dxa" w:w="1246"/>
            <w:shd w:val="clear" w:color="auto" w:fill="F2F2F2"/>
          </w:tcPr>
          <w:p>
            <w:pPr>
              <w:spacing w:after="0"/>
            </w:pPr>
            <w:r>
              <w:rPr>
                <w:b/>
                <w:sz w:val="18"/>
              </w:rPr>
              <w:t>ALL (micro)</w:t>
            </w:r>
          </w:p>
        </w:tc>
        <w:tc>
          <w:tcPr>
            <w:tcW w:type="dxa" w:w="1246"/>
          </w:tcPr>
          <w:p>
            <w:pPr>
              <w:spacing w:after="0"/>
              <w:jc w:val="center"/>
            </w:pPr>
            <w:r>
              <w:rPr>
                <w:sz w:val="18"/>
              </w:rPr>
              <w:t>70</w:t>
            </w:r>
          </w:p>
        </w:tc>
        <w:tc>
          <w:tcPr>
            <w:tcW w:type="dxa" w:w="1246"/>
          </w:tcPr>
          <w:p>
            <w:pPr>
              <w:spacing w:after="0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246"/>
          </w:tcPr>
          <w:p>
            <w:pPr>
              <w:spacing w:after="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246"/>
          </w:tcPr>
          <w:p>
            <w:pPr>
              <w:spacing w:after="0"/>
              <w:jc w:val="center"/>
            </w:pPr>
            <w:r>
              <w:rPr>
                <w:sz w:val="18"/>
              </w:rPr>
              <w:t>1.000</w:t>
            </w:r>
          </w:p>
        </w:tc>
        <w:tc>
          <w:tcPr>
            <w:tcW w:type="dxa" w:w="1246"/>
          </w:tcPr>
          <w:p>
            <w:pPr>
              <w:spacing w:after="0"/>
              <w:jc w:val="center"/>
            </w:pPr>
            <w:r>
              <w:rPr>
                <w:sz w:val="18"/>
              </w:rPr>
              <w:t>0.959</w:t>
            </w:r>
          </w:p>
        </w:tc>
        <w:tc>
          <w:tcPr>
            <w:tcW w:type="dxa" w:w="1246"/>
          </w:tcPr>
          <w:p>
            <w:pPr>
              <w:spacing w:after="0"/>
              <w:jc w:val="center"/>
            </w:pPr>
            <w:r>
              <w:rPr>
                <w:sz w:val="18"/>
              </w:rPr>
              <w:t>0.979</w:t>
            </w:r>
          </w:p>
        </w:tc>
        <w:tc>
          <w:tcPr>
            <w:tcW w:type="dxa" w:w="1246"/>
          </w:tcPr>
          <w:p>
            <w:pPr>
              <w:spacing w:after="0"/>
              <w:jc w:val="center"/>
            </w:pPr>
            <w:r>
              <w:rPr>
                <w:sz w:val="18"/>
              </w:rPr>
              <w:t>0.959</w:t>
            </w:r>
          </w:p>
        </w:tc>
      </w:tr>
    </w:tbl>
    <w:p>
      <w:pPr>
        <w:spacing w:after="40"/>
      </w:pPr>
    </w:p>
    <w:p>
      <w:pPr>
        <w:pStyle w:val="Heading2"/>
      </w:pPr>
      <w:r>
        <w:rPr/>
        <w:t>3.2 Detection: strict matching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rPr>
          <w:tblHeader w:val="true"/>
        </w:trPr>
        <w:tc>
          <w:tcPr>
            <w:tcW w:type="dxa" w:w="1246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Class</w:t>
            </w:r>
          </w:p>
        </w:tc>
        <w:tc>
          <w:tcPr>
            <w:tcW w:type="dxa" w:w="1246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TP</w:t>
            </w:r>
          </w:p>
        </w:tc>
        <w:tc>
          <w:tcPr>
            <w:tcW w:type="dxa" w:w="1246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FP</w:t>
            </w:r>
          </w:p>
        </w:tc>
        <w:tc>
          <w:tcPr>
            <w:tcW w:type="dxa" w:w="1246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FN</w:t>
            </w:r>
          </w:p>
        </w:tc>
        <w:tc>
          <w:tcPr>
            <w:tcW w:type="dxa" w:w="1246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Precision</w:t>
            </w:r>
          </w:p>
        </w:tc>
        <w:tc>
          <w:tcPr>
            <w:tcW w:type="dxa" w:w="1246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Recall</w:t>
            </w:r>
          </w:p>
        </w:tc>
        <w:tc>
          <w:tcPr>
            <w:tcW w:type="dxa" w:w="1246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F1</w:t>
            </w:r>
          </w:p>
        </w:tc>
        <w:tc>
          <w:tcPr>
            <w:tcW w:type="dxa" w:w="1246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Accuracy (TP/(TP+FP+FN))</w:t>
            </w:r>
          </w:p>
        </w:tc>
      </w:tr>
      <w:tr>
        <w:tc>
          <w:tcPr>
            <w:tcW w:type="dxa" w:w="1246"/>
          </w:tcPr>
          <w:p>
            <w:pPr>
              <w:spacing w:after="0"/>
            </w:pPr>
            <w:r>
              <w:rPr>
                <w:sz w:val="18"/>
              </w:rPr>
              <w:t>Names</w:t>
            </w:r>
          </w:p>
        </w:tc>
        <w:tc>
          <w:tcPr>
            <w:tcW w:type="dxa" w:w="1246"/>
          </w:tcPr>
          <w:p>
            <w:pPr>
              <w:spacing w:after="0"/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type="dxa" w:w="1246"/>
          </w:tcPr>
          <w:p>
            <w:pPr>
              <w:spacing w:after="0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246"/>
          </w:tcPr>
          <w:p>
            <w:pPr>
              <w:spacing w:after="0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246"/>
          </w:tcPr>
          <w:p>
            <w:pPr>
              <w:spacing w:after="0"/>
              <w:jc w:val="center"/>
            </w:pPr>
            <w:r>
              <w:rPr>
                <w:sz w:val="18"/>
              </w:rPr>
              <w:t>1.000</w:t>
            </w:r>
          </w:p>
        </w:tc>
        <w:tc>
          <w:tcPr>
            <w:tcW w:type="dxa" w:w="1246"/>
          </w:tcPr>
          <w:p>
            <w:pPr>
              <w:spacing w:after="0"/>
              <w:jc w:val="center"/>
            </w:pPr>
            <w:r>
              <w:rPr>
                <w:sz w:val="18"/>
              </w:rPr>
              <w:t>0.875</w:t>
            </w:r>
          </w:p>
        </w:tc>
        <w:tc>
          <w:tcPr>
            <w:tcW w:type="dxa" w:w="1246"/>
          </w:tcPr>
          <w:p>
            <w:pPr>
              <w:spacing w:after="0"/>
              <w:jc w:val="center"/>
            </w:pPr>
            <w:r>
              <w:rPr>
                <w:sz w:val="18"/>
              </w:rPr>
              <w:t>0.933</w:t>
            </w:r>
          </w:p>
        </w:tc>
        <w:tc>
          <w:tcPr>
            <w:tcW w:type="dxa" w:w="1246"/>
          </w:tcPr>
          <w:p>
            <w:pPr>
              <w:spacing w:after="0"/>
              <w:jc w:val="center"/>
            </w:pPr>
            <w:r>
              <w:rPr>
                <w:sz w:val="18"/>
              </w:rPr>
              <w:t>0.875</w:t>
            </w:r>
          </w:p>
        </w:tc>
      </w:tr>
      <w:tr>
        <w:tc>
          <w:tcPr>
            <w:tcW w:type="dxa" w:w="1246"/>
          </w:tcPr>
          <w:p>
            <w:pPr>
              <w:spacing w:after="0"/>
            </w:pPr>
            <w:r>
              <w:rPr>
                <w:sz w:val="18"/>
              </w:rPr>
              <w:t>Organizations</w:t>
            </w:r>
          </w:p>
        </w:tc>
        <w:tc>
          <w:tcPr>
            <w:tcW w:type="dxa" w:w="1246"/>
          </w:tcPr>
          <w:p>
            <w:pPr>
              <w:spacing w:after="0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246"/>
          </w:tcPr>
          <w:p>
            <w:pPr>
              <w:spacing w:after="0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246"/>
          </w:tcPr>
          <w:p>
            <w:pPr>
              <w:spacing w:after="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246"/>
          </w:tcPr>
          <w:p>
            <w:pPr>
              <w:spacing w:after="0"/>
              <w:jc w:val="center"/>
            </w:pPr>
            <w:r>
              <w:rPr>
                <w:sz w:val="18"/>
              </w:rPr>
              <w:t>1.000</w:t>
            </w:r>
          </w:p>
        </w:tc>
        <w:tc>
          <w:tcPr>
            <w:tcW w:type="dxa" w:w="1246"/>
          </w:tcPr>
          <w:p>
            <w:pPr>
              <w:spacing w:after="0"/>
              <w:jc w:val="center"/>
            </w:pPr>
            <w:r>
              <w:rPr>
                <w:sz w:val="18"/>
              </w:rPr>
              <w:t>0.875</w:t>
            </w:r>
          </w:p>
        </w:tc>
        <w:tc>
          <w:tcPr>
            <w:tcW w:type="dxa" w:w="1246"/>
          </w:tcPr>
          <w:p>
            <w:pPr>
              <w:spacing w:after="0"/>
              <w:jc w:val="center"/>
            </w:pPr>
            <w:r>
              <w:rPr>
                <w:sz w:val="18"/>
              </w:rPr>
              <w:t>0.933</w:t>
            </w:r>
          </w:p>
        </w:tc>
        <w:tc>
          <w:tcPr>
            <w:tcW w:type="dxa" w:w="1246"/>
          </w:tcPr>
          <w:p>
            <w:pPr>
              <w:spacing w:after="0"/>
              <w:jc w:val="center"/>
            </w:pPr>
            <w:r>
              <w:rPr>
                <w:sz w:val="18"/>
              </w:rPr>
              <w:t>0.875</w:t>
            </w:r>
          </w:p>
        </w:tc>
      </w:tr>
      <w:tr>
        <w:tc>
          <w:tcPr>
            <w:tcW w:type="dxa" w:w="1246"/>
          </w:tcPr>
          <w:p>
            <w:pPr>
              <w:spacing w:after="0"/>
            </w:pPr>
            <w:r>
              <w:rPr>
                <w:sz w:val="18"/>
              </w:rPr>
              <w:t>Identifiers</w:t>
            </w:r>
          </w:p>
        </w:tc>
        <w:tc>
          <w:tcPr>
            <w:tcW w:type="dxa" w:w="1246"/>
          </w:tcPr>
          <w:p>
            <w:pPr>
              <w:spacing w:after="0"/>
              <w:jc w:val="center"/>
            </w:pPr>
            <w:r>
              <w:rPr>
                <w:sz w:val="18"/>
              </w:rPr>
              <w:t>21</w:t>
            </w:r>
          </w:p>
        </w:tc>
        <w:tc>
          <w:tcPr>
            <w:tcW w:type="dxa" w:w="1246"/>
          </w:tcPr>
          <w:p>
            <w:pPr>
              <w:spacing w:after="0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246"/>
          </w:tcPr>
          <w:p>
            <w:pPr>
              <w:spacing w:after="0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246"/>
          </w:tcPr>
          <w:p>
            <w:pPr>
              <w:spacing w:after="0"/>
              <w:jc w:val="center"/>
            </w:pPr>
            <w:r>
              <w:rPr>
                <w:sz w:val="18"/>
              </w:rPr>
              <w:t>1.000</w:t>
            </w:r>
          </w:p>
        </w:tc>
        <w:tc>
          <w:tcPr>
            <w:tcW w:type="dxa" w:w="1246"/>
          </w:tcPr>
          <w:p>
            <w:pPr>
              <w:spacing w:after="0"/>
              <w:jc w:val="center"/>
            </w:pPr>
            <w:r>
              <w:rPr>
                <w:sz w:val="18"/>
              </w:rPr>
              <w:t>1.000</w:t>
            </w:r>
          </w:p>
        </w:tc>
        <w:tc>
          <w:tcPr>
            <w:tcW w:type="dxa" w:w="1246"/>
          </w:tcPr>
          <w:p>
            <w:pPr>
              <w:spacing w:after="0"/>
              <w:jc w:val="center"/>
            </w:pPr>
            <w:r>
              <w:rPr>
                <w:sz w:val="18"/>
              </w:rPr>
              <w:t>1.000</w:t>
            </w:r>
          </w:p>
        </w:tc>
        <w:tc>
          <w:tcPr>
            <w:tcW w:type="dxa" w:w="1246"/>
          </w:tcPr>
          <w:p>
            <w:pPr>
              <w:spacing w:after="0"/>
              <w:jc w:val="center"/>
            </w:pPr>
            <w:r>
              <w:rPr>
                <w:sz w:val="18"/>
              </w:rPr>
              <w:t>1.000</w:t>
            </w:r>
          </w:p>
        </w:tc>
      </w:tr>
      <w:tr>
        <w:tc>
          <w:tcPr>
            <w:tcW w:type="dxa" w:w="1246"/>
          </w:tcPr>
          <w:p>
            <w:pPr>
              <w:spacing w:after="0"/>
            </w:pPr>
            <w:r>
              <w:rPr>
                <w:sz w:val="18"/>
              </w:rPr>
              <w:t>Financial</w:t>
            </w:r>
          </w:p>
        </w:tc>
        <w:tc>
          <w:tcPr>
            <w:tcW w:type="dxa" w:w="1246"/>
          </w:tcPr>
          <w:p>
            <w:pPr>
              <w:spacing w:after="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246"/>
          </w:tcPr>
          <w:p>
            <w:pPr>
              <w:spacing w:after="0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246"/>
          </w:tcPr>
          <w:p>
            <w:pPr>
              <w:spacing w:after="0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246"/>
          </w:tcPr>
          <w:p>
            <w:pPr>
              <w:spacing w:after="0"/>
              <w:jc w:val="center"/>
            </w:pPr>
            <w:r>
              <w:rPr>
                <w:sz w:val="18"/>
              </w:rPr>
              <w:t>1.000</w:t>
            </w:r>
          </w:p>
        </w:tc>
        <w:tc>
          <w:tcPr>
            <w:tcW w:type="dxa" w:w="1246"/>
          </w:tcPr>
          <w:p>
            <w:pPr>
              <w:spacing w:after="0"/>
              <w:jc w:val="center"/>
            </w:pPr>
            <w:r>
              <w:rPr>
                <w:sz w:val="18"/>
              </w:rPr>
              <w:t>1.000</w:t>
            </w:r>
          </w:p>
        </w:tc>
        <w:tc>
          <w:tcPr>
            <w:tcW w:type="dxa" w:w="1246"/>
          </w:tcPr>
          <w:p>
            <w:pPr>
              <w:spacing w:after="0"/>
              <w:jc w:val="center"/>
            </w:pPr>
            <w:r>
              <w:rPr>
                <w:sz w:val="18"/>
              </w:rPr>
              <w:t>1.000</w:t>
            </w:r>
          </w:p>
        </w:tc>
        <w:tc>
          <w:tcPr>
            <w:tcW w:type="dxa" w:w="1246"/>
          </w:tcPr>
          <w:p>
            <w:pPr>
              <w:spacing w:after="0"/>
              <w:jc w:val="center"/>
            </w:pPr>
            <w:r>
              <w:rPr>
                <w:sz w:val="18"/>
              </w:rPr>
              <w:t>1.000</w:t>
            </w:r>
          </w:p>
        </w:tc>
      </w:tr>
      <w:tr>
        <w:tc>
          <w:tcPr>
            <w:tcW w:type="dxa" w:w="1246"/>
          </w:tcPr>
          <w:p>
            <w:pPr>
              <w:spacing w:after="0"/>
            </w:pPr>
            <w:r>
              <w:rPr>
                <w:sz w:val="18"/>
              </w:rPr>
              <w:t>Addresses</w:t>
            </w:r>
          </w:p>
        </w:tc>
        <w:tc>
          <w:tcPr>
            <w:tcW w:type="dxa" w:w="1246"/>
          </w:tcPr>
          <w:p>
            <w:pPr>
              <w:spacing w:after="0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246"/>
          </w:tcPr>
          <w:p>
            <w:pPr>
              <w:spacing w:after="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246"/>
          </w:tcPr>
          <w:p>
            <w:pPr>
              <w:spacing w:after="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246"/>
          </w:tcPr>
          <w:p>
            <w:pPr>
              <w:spacing w:after="0"/>
              <w:jc w:val="center"/>
            </w:pPr>
            <w:r>
              <w:rPr>
                <w:sz w:val="18"/>
              </w:rPr>
              <w:t>0.625</w:t>
            </w:r>
          </w:p>
        </w:tc>
        <w:tc>
          <w:tcPr>
            <w:tcW w:type="dxa" w:w="1246"/>
          </w:tcPr>
          <w:p>
            <w:pPr>
              <w:spacing w:after="0"/>
              <w:jc w:val="center"/>
            </w:pPr>
            <w:r>
              <w:rPr>
                <w:sz w:val="18"/>
              </w:rPr>
              <w:t>0.833</w:t>
            </w:r>
          </w:p>
        </w:tc>
        <w:tc>
          <w:tcPr>
            <w:tcW w:type="dxa" w:w="1246"/>
          </w:tcPr>
          <w:p>
            <w:pPr>
              <w:spacing w:after="0"/>
              <w:jc w:val="center"/>
            </w:pPr>
            <w:r>
              <w:rPr>
                <w:sz w:val="18"/>
              </w:rPr>
              <w:t>0.714</w:t>
            </w:r>
          </w:p>
        </w:tc>
        <w:tc>
          <w:tcPr>
            <w:tcW w:type="dxa" w:w="1246"/>
          </w:tcPr>
          <w:p>
            <w:pPr>
              <w:spacing w:after="0"/>
              <w:jc w:val="center"/>
            </w:pPr>
            <w:r>
              <w:rPr>
                <w:sz w:val="18"/>
              </w:rPr>
              <w:t>0.556</w:t>
            </w:r>
          </w:p>
        </w:tc>
      </w:tr>
      <w:tr>
        <w:tc>
          <w:tcPr>
            <w:tcW w:type="dxa" w:w="1246"/>
          </w:tcPr>
          <w:p>
            <w:pPr>
              <w:spacing w:after="0"/>
            </w:pPr>
            <w:r>
              <w:rPr>
                <w:sz w:val="18"/>
              </w:rPr>
              <w:t>Contacts</w:t>
            </w:r>
          </w:p>
        </w:tc>
        <w:tc>
          <w:tcPr>
            <w:tcW w:type="dxa" w:w="1246"/>
          </w:tcPr>
          <w:p>
            <w:pPr>
              <w:spacing w:after="0"/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1246"/>
          </w:tcPr>
          <w:p>
            <w:pPr>
              <w:spacing w:after="0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246"/>
          </w:tcPr>
          <w:p>
            <w:pPr>
              <w:spacing w:after="0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246"/>
          </w:tcPr>
          <w:p>
            <w:pPr>
              <w:spacing w:after="0"/>
              <w:jc w:val="center"/>
            </w:pPr>
            <w:r>
              <w:rPr>
                <w:sz w:val="18"/>
              </w:rPr>
              <w:t>1.000</w:t>
            </w:r>
          </w:p>
        </w:tc>
        <w:tc>
          <w:tcPr>
            <w:tcW w:type="dxa" w:w="1246"/>
          </w:tcPr>
          <w:p>
            <w:pPr>
              <w:spacing w:after="0"/>
              <w:jc w:val="center"/>
            </w:pPr>
            <w:r>
              <w:rPr>
                <w:sz w:val="18"/>
              </w:rPr>
              <w:t>1.000</w:t>
            </w:r>
          </w:p>
        </w:tc>
        <w:tc>
          <w:tcPr>
            <w:tcW w:type="dxa" w:w="1246"/>
          </w:tcPr>
          <w:p>
            <w:pPr>
              <w:spacing w:after="0"/>
              <w:jc w:val="center"/>
            </w:pPr>
            <w:r>
              <w:rPr>
                <w:sz w:val="18"/>
              </w:rPr>
              <w:t>1.000</w:t>
            </w:r>
          </w:p>
        </w:tc>
        <w:tc>
          <w:tcPr>
            <w:tcW w:type="dxa" w:w="1246"/>
          </w:tcPr>
          <w:p>
            <w:pPr>
              <w:spacing w:after="0"/>
              <w:jc w:val="center"/>
            </w:pPr>
            <w:r>
              <w:rPr>
                <w:sz w:val="18"/>
              </w:rPr>
              <w:t>1.000</w:t>
            </w:r>
          </w:p>
        </w:tc>
      </w:tr>
      <w:tr>
        <w:tc>
          <w:tcPr>
            <w:tcW w:type="dxa" w:w="1246"/>
          </w:tcPr>
          <w:p>
            <w:pPr>
              <w:spacing w:after="0"/>
            </w:pPr>
            <w:r>
              <w:rPr>
                <w:sz w:val="18"/>
              </w:rPr>
              <w:t>DOB</w:t>
            </w:r>
          </w:p>
        </w:tc>
        <w:tc>
          <w:tcPr>
            <w:tcW w:type="dxa" w:w="1246"/>
          </w:tcPr>
          <w:p>
            <w:pPr>
              <w:spacing w:after="0"/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1246"/>
          </w:tcPr>
          <w:p>
            <w:pPr>
              <w:spacing w:after="0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246"/>
          </w:tcPr>
          <w:p>
            <w:pPr>
              <w:spacing w:after="0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246"/>
          </w:tcPr>
          <w:p>
            <w:pPr>
              <w:spacing w:after="0"/>
              <w:jc w:val="center"/>
            </w:pPr>
            <w:r>
              <w:rPr>
                <w:sz w:val="18"/>
              </w:rPr>
              <w:t>1.000</w:t>
            </w:r>
          </w:p>
        </w:tc>
        <w:tc>
          <w:tcPr>
            <w:tcW w:type="dxa" w:w="1246"/>
          </w:tcPr>
          <w:p>
            <w:pPr>
              <w:spacing w:after="0"/>
              <w:jc w:val="center"/>
            </w:pPr>
            <w:r>
              <w:rPr>
                <w:sz w:val="18"/>
              </w:rPr>
              <w:t>1.000</w:t>
            </w:r>
          </w:p>
        </w:tc>
        <w:tc>
          <w:tcPr>
            <w:tcW w:type="dxa" w:w="1246"/>
          </w:tcPr>
          <w:p>
            <w:pPr>
              <w:spacing w:after="0"/>
              <w:jc w:val="center"/>
            </w:pPr>
            <w:r>
              <w:rPr>
                <w:sz w:val="18"/>
              </w:rPr>
              <w:t>1.000</w:t>
            </w:r>
          </w:p>
        </w:tc>
        <w:tc>
          <w:tcPr>
            <w:tcW w:type="dxa" w:w="1246"/>
          </w:tcPr>
          <w:p>
            <w:pPr>
              <w:spacing w:after="0"/>
              <w:jc w:val="center"/>
            </w:pPr>
            <w:r>
              <w:rPr>
                <w:sz w:val="18"/>
              </w:rPr>
              <w:t>1.000</w:t>
            </w:r>
          </w:p>
        </w:tc>
      </w:tr>
      <w:tr>
        <w:tc>
          <w:tcPr>
            <w:tcW w:type="dxa" w:w="1246"/>
            <w:shd w:val="clear" w:color="auto" w:fill="F2F2F2"/>
          </w:tcPr>
          <w:p>
            <w:pPr>
              <w:spacing w:after="0"/>
            </w:pPr>
            <w:r>
              <w:rPr>
                <w:b/>
                <w:sz w:val="18"/>
              </w:rPr>
              <w:t>ALL (micro)</w:t>
            </w:r>
          </w:p>
        </w:tc>
        <w:tc>
          <w:tcPr>
            <w:tcW w:type="dxa" w:w="1246"/>
          </w:tcPr>
          <w:p>
            <w:pPr>
              <w:spacing w:after="0"/>
              <w:jc w:val="center"/>
            </w:pPr>
            <w:r>
              <w:rPr>
                <w:sz w:val="18"/>
              </w:rPr>
              <w:t>69</w:t>
            </w:r>
          </w:p>
        </w:tc>
        <w:tc>
          <w:tcPr>
            <w:tcW w:type="dxa" w:w="1246"/>
          </w:tcPr>
          <w:p>
            <w:pPr>
              <w:spacing w:after="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246"/>
          </w:tcPr>
          <w:p>
            <w:pPr>
              <w:spacing w:after="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246"/>
          </w:tcPr>
          <w:p>
            <w:pPr>
              <w:spacing w:after="0"/>
              <w:jc w:val="center"/>
            </w:pPr>
            <w:r>
              <w:rPr>
                <w:sz w:val="18"/>
              </w:rPr>
              <w:t>0.958</w:t>
            </w:r>
          </w:p>
        </w:tc>
        <w:tc>
          <w:tcPr>
            <w:tcW w:type="dxa" w:w="1246"/>
          </w:tcPr>
          <w:p>
            <w:pPr>
              <w:spacing w:after="0"/>
              <w:jc w:val="center"/>
            </w:pPr>
            <w:r>
              <w:rPr>
                <w:sz w:val="18"/>
              </w:rPr>
              <w:t>0.945</w:t>
            </w:r>
          </w:p>
        </w:tc>
        <w:tc>
          <w:tcPr>
            <w:tcW w:type="dxa" w:w="1246"/>
          </w:tcPr>
          <w:p>
            <w:pPr>
              <w:spacing w:after="0"/>
              <w:jc w:val="center"/>
            </w:pPr>
            <w:r>
              <w:rPr>
                <w:sz w:val="18"/>
              </w:rPr>
              <w:t>0.952</w:t>
            </w:r>
          </w:p>
        </w:tc>
        <w:tc>
          <w:tcPr>
            <w:tcW w:type="dxa" w:w="1246"/>
          </w:tcPr>
          <w:p>
            <w:pPr>
              <w:spacing w:after="0"/>
              <w:jc w:val="center"/>
            </w:pPr>
            <w:r>
              <w:rPr>
                <w:sz w:val="18"/>
              </w:rPr>
              <w:t>0.908</w:t>
            </w:r>
          </w:p>
        </w:tc>
      </w:tr>
    </w:tbl>
    <w:p>
      <w:pPr>
        <w:spacing w:after="40"/>
      </w:pPr>
    </w:p>
    <w:p>
      <w:r>
        <w:rPr/>
        <w:t>The only strict-vs-lenient gap is the Aadhaar address: OCR returns it as three lines, and we (correctly) redact three pieces. Strict string equality counts that as 3 FP + 1 FN. It is a segmentation artefact, not an error.</w:t>
      </w:r>
    </w:p>
    <w:p>
      <w:pPr>
        <w:pStyle w:val="Heading2"/>
      </w:pPr>
      <w:r>
        <w:rPr/>
        <w:t>3.3 End-to-end leak test (output file, including OCR of repainted images)</w:t>
      </w:r>
    </w:p>
    <w:p>
      <w:r>
        <w:rPr>
          <w:b/>
        </w:rPr>
        <w:t>74/75 PII values removed: redaction recall 0.987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493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Class</w:t>
            </w:r>
          </w:p>
        </w:tc>
        <w:tc>
          <w:tcPr>
            <w:tcW w:type="dxa" w:w="2493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Values</w:t>
            </w:r>
          </w:p>
        </w:tc>
        <w:tc>
          <w:tcPr>
            <w:tcW w:type="dxa" w:w="2493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Leaked</w:t>
            </w:r>
          </w:p>
        </w:tc>
        <w:tc>
          <w:tcPr>
            <w:tcW w:type="dxa" w:w="2493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Redaction recall</w:t>
            </w:r>
          </w:p>
        </w:tc>
      </w:tr>
      <w:tr>
        <w:tc>
          <w:tcPr>
            <w:tcW w:type="dxa" w:w="2493"/>
          </w:tcPr>
          <w:p>
            <w:pPr>
              <w:spacing w:after="0"/>
            </w:pPr>
            <w:r>
              <w:rPr>
                <w:sz w:val="18"/>
              </w:rPr>
              <w:t>Names</w:t>
            </w:r>
          </w:p>
        </w:tc>
        <w:tc>
          <w:tcPr>
            <w:tcW w:type="dxa" w:w="2493"/>
          </w:tcPr>
          <w:p>
            <w:pPr>
              <w:spacing w:after="0"/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type="dxa" w:w="2493"/>
          </w:tcPr>
          <w:p>
            <w:pPr>
              <w:spacing w:after="0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493"/>
          </w:tcPr>
          <w:p>
            <w:pPr>
              <w:spacing w:after="0"/>
              <w:jc w:val="center"/>
            </w:pPr>
            <w:r>
              <w:rPr>
                <w:sz w:val="18"/>
              </w:rPr>
              <w:t>1.000</w:t>
            </w:r>
          </w:p>
        </w:tc>
      </w:tr>
      <w:tr>
        <w:tc>
          <w:tcPr>
            <w:tcW w:type="dxa" w:w="2493"/>
          </w:tcPr>
          <w:p>
            <w:pPr>
              <w:spacing w:after="0"/>
            </w:pPr>
            <w:r>
              <w:rPr>
                <w:sz w:val="18"/>
              </w:rPr>
              <w:t>Organizations</w:t>
            </w:r>
          </w:p>
        </w:tc>
        <w:tc>
          <w:tcPr>
            <w:tcW w:type="dxa" w:w="2493"/>
          </w:tcPr>
          <w:p>
            <w:pPr>
              <w:spacing w:after="0"/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2493"/>
          </w:tcPr>
          <w:p>
            <w:pPr>
              <w:spacing w:after="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493"/>
          </w:tcPr>
          <w:p>
            <w:pPr>
              <w:spacing w:after="0"/>
              <w:jc w:val="center"/>
            </w:pPr>
            <w:r>
              <w:rPr>
                <w:sz w:val="18"/>
              </w:rPr>
              <w:t>0.875</w:t>
            </w:r>
          </w:p>
        </w:tc>
      </w:tr>
      <w:tr>
        <w:tc>
          <w:tcPr>
            <w:tcW w:type="dxa" w:w="2493"/>
          </w:tcPr>
          <w:p>
            <w:pPr>
              <w:spacing w:after="0"/>
            </w:pPr>
            <w:r>
              <w:rPr>
                <w:sz w:val="18"/>
              </w:rPr>
              <w:t>Identifiers</w:t>
            </w:r>
          </w:p>
        </w:tc>
        <w:tc>
          <w:tcPr>
            <w:tcW w:type="dxa" w:w="2493"/>
          </w:tcPr>
          <w:p>
            <w:pPr>
              <w:spacing w:after="0"/>
              <w:jc w:val="center"/>
            </w:pPr>
            <w:r>
              <w:rPr>
                <w:sz w:val="18"/>
              </w:rPr>
              <w:t>21</w:t>
            </w:r>
          </w:p>
        </w:tc>
        <w:tc>
          <w:tcPr>
            <w:tcW w:type="dxa" w:w="2493"/>
          </w:tcPr>
          <w:p>
            <w:pPr>
              <w:spacing w:after="0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493"/>
          </w:tcPr>
          <w:p>
            <w:pPr>
              <w:spacing w:after="0"/>
              <w:jc w:val="center"/>
            </w:pPr>
            <w:r>
              <w:rPr>
                <w:sz w:val="18"/>
              </w:rPr>
              <w:t>1.000</w:t>
            </w:r>
          </w:p>
        </w:tc>
      </w:tr>
      <w:tr>
        <w:tc>
          <w:tcPr>
            <w:tcW w:type="dxa" w:w="2493"/>
          </w:tcPr>
          <w:p>
            <w:pPr>
              <w:spacing w:after="0"/>
            </w:pPr>
            <w:r>
              <w:rPr>
                <w:sz w:val="18"/>
              </w:rPr>
              <w:t>Financial</w:t>
            </w:r>
          </w:p>
        </w:tc>
        <w:tc>
          <w:tcPr>
            <w:tcW w:type="dxa" w:w="2493"/>
          </w:tcPr>
          <w:p>
            <w:pPr>
              <w:spacing w:after="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2493"/>
          </w:tcPr>
          <w:p>
            <w:pPr>
              <w:spacing w:after="0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493"/>
          </w:tcPr>
          <w:p>
            <w:pPr>
              <w:spacing w:after="0"/>
              <w:jc w:val="center"/>
            </w:pPr>
            <w:r>
              <w:rPr>
                <w:sz w:val="18"/>
              </w:rPr>
              <w:t>1.000</w:t>
            </w:r>
          </w:p>
        </w:tc>
      </w:tr>
      <w:tr>
        <w:tc>
          <w:tcPr>
            <w:tcW w:type="dxa" w:w="2493"/>
          </w:tcPr>
          <w:p>
            <w:pPr>
              <w:spacing w:after="0"/>
            </w:pPr>
            <w:r>
              <w:rPr>
                <w:sz w:val="18"/>
              </w:rPr>
              <w:t>Addresses</w:t>
            </w:r>
          </w:p>
        </w:tc>
        <w:tc>
          <w:tcPr>
            <w:tcW w:type="dxa" w:w="2493"/>
          </w:tcPr>
          <w:p>
            <w:pPr>
              <w:spacing w:after="0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2493"/>
          </w:tcPr>
          <w:p>
            <w:pPr>
              <w:spacing w:after="0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493"/>
          </w:tcPr>
          <w:p>
            <w:pPr>
              <w:spacing w:after="0"/>
              <w:jc w:val="center"/>
            </w:pPr>
            <w:r>
              <w:rPr>
                <w:sz w:val="18"/>
              </w:rPr>
              <w:t>1.000</w:t>
            </w:r>
          </w:p>
        </w:tc>
      </w:tr>
      <w:tr>
        <w:tc>
          <w:tcPr>
            <w:tcW w:type="dxa" w:w="2493"/>
          </w:tcPr>
          <w:p>
            <w:pPr>
              <w:spacing w:after="0"/>
            </w:pPr>
            <w:r>
              <w:rPr>
                <w:sz w:val="18"/>
              </w:rPr>
              <w:t>Contacts</w:t>
            </w:r>
          </w:p>
        </w:tc>
        <w:tc>
          <w:tcPr>
            <w:tcW w:type="dxa" w:w="2493"/>
          </w:tcPr>
          <w:p>
            <w:pPr>
              <w:spacing w:after="0"/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2493"/>
          </w:tcPr>
          <w:p>
            <w:pPr>
              <w:spacing w:after="0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493"/>
          </w:tcPr>
          <w:p>
            <w:pPr>
              <w:spacing w:after="0"/>
              <w:jc w:val="center"/>
            </w:pPr>
            <w:r>
              <w:rPr>
                <w:sz w:val="18"/>
              </w:rPr>
              <w:t>1.000</w:t>
            </w:r>
          </w:p>
        </w:tc>
      </w:tr>
      <w:tr>
        <w:tc>
          <w:tcPr>
            <w:tcW w:type="dxa" w:w="2493"/>
          </w:tcPr>
          <w:p>
            <w:pPr>
              <w:spacing w:after="0"/>
            </w:pPr>
            <w:r>
              <w:rPr>
                <w:sz w:val="18"/>
              </w:rPr>
              <w:t>DOB</w:t>
            </w:r>
          </w:p>
        </w:tc>
        <w:tc>
          <w:tcPr>
            <w:tcW w:type="dxa" w:w="2493"/>
          </w:tcPr>
          <w:p>
            <w:pPr>
              <w:spacing w:after="0"/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2493"/>
          </w:tcPr>
          <w:p>
            <w:pPr>
              <w:spacing w:after="0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493"/>
          </w:tcPr>
          <w:p>
            <w:pPr>
              <w:spacing w:after="0"/>
              <w:jc w:val="center"/>
            </w:pPr>
            <w:r>
              <w:rPr>
                <w:sz w:val="18"/>
              </w:rPr>
              <w:t>1.000</w:t>
            </w:r>
          </w:p>
        </w:tc>
      </w:tr>
    </w:tbl>
    <w:p>
      <w:pPr>
        <w:spacing w:after="40"/>
      </w:pPr>
    </w:p>
    <w:p>
      <w:r>
        <w:rPr/>
        <w:t xml:space="preserve">Full-string leaks: </w:t>
      </w:r>
      <w:r>
        <w:rPr>
          <w:rFonts w:ascii="Consolas" w:hAnsi="Consolas" w:eastAsia="Consolas"/>
          <w:color w:val="A31515"/>
        </w:rPr>
        <w:t>Kotak Mahindra Capital Company</w:t>
      </w:r>
      <w:r>
        <w:rPr/>
        <w:t xml:space="preserve">. Partial token leaks: </w:t>
      </w:r>
      <w:r>
        <w:rPr>
          <w:rFonts w:ascii="Consolas" w:hAnsi="Consolas" w:eastAsia="Consolas"/>
          <w:color w:val="A31515"/>
        </w:rPr>
        <w:t>Kotak (from 'Kotak Mahindra Capital Company')</w:t>
      </w:r>
      <w:r>
        <w:rPr/>
        <w:t xml:space="preserve">, </w:t>
      </w:r>
      <w:r>
        <w:rPr>
          <w:rFonts w:ascii="Consolas" w:hAnsi="Consolas" w:eastAsia="Consolas"/>
          <w:color w:val="A31515"/>
        </w:rPr>
        <w:t>Mahindra (from 'Kotak Mahindra Capital Company')</w:t>
      </w:r>
      <w:r>
        <w:rPr/>
        <w:t xml:space="preserve">, </w:t>
      </w:r>
      <w:r>
        <w:rPr>
          <w:rFonts w:ascii="Consolas" w:hAnsi="Consolas" w:eastAsia="Consolas"/>
          <w:color w:val="A31515"/>
        </w:rPr>
        <w:t>Gowda (from 'Subbayya Gowda')</w:t>
      </w:r>
      <w:r>
        <w:rPr/>
        <w:t>.</w:t>
      </w:r>
    </w:p>
    <w:p>
      <w:pPr>
        <w:pStyle w:val="Heading2"/>
      </w:pPr>
      <w:r>
        <w:rPr/>
        <w:t>3.4 Over-redaction, consistency, formatting</w:t>
      </w:r>
    </w:p>
    <w:p>
      <w:pPr>
        <w:pStyle w:val="ListBullet"/>
      </w:pPr>
      <w:r>
        <w:rPr/>
        <w:t xml:space="preserve">Negative traps preserved: </w:t>
      </w:r>
      <w:r>
        <w:rPr>
          <w:b/>
        </w:rPr>
        <w:t>43/43</w:t>
      </w:r>
      <w:r>
        <w:rPr/>
        <w:t>.</w:t>
      </w:r>
    </w:p>
    <w:p>
      <w:pPr>
        <w:pStyle w:val="ListBullet"/>
      </w:pPr>
      <w:r>
        <w:rPr/>
        <w:t xml:space="preserve">One pseudonym per entity across all locations and modalities: </w:t>
      </w:r>
      <w:r>
        <w:rPr>
          <w:b/>
        </w:rPr>
        <w:t>yes</w:t>
      </w:r>
      <w:r>
        <w:rPr/>
        <w:t xml:space="preserve"> (0 inconsistencies). </w:t>
      </w:r>
      <w:r>
        <w:rPr>
          <w:rFonts w:ascii="Consolas" w:hAnsi="Consolas" w:eastAsia="Consolas"/>
          <w:color w:val="A31515"/>
        </w:rPr>
        <w:t>VISHAL SINGH</w:t>
      </w:r>
      <w:r>
        <w:rPr/>
        <w:t xml:space="preserve"> on the PAN scan and any text mention share one fake. </w:t>
      </w:r>
      <w:r>
        <w:rPr>
          <w:rFonts w:ascii="Consolas" w:hAnsi="Consolas" w:eastAsia="Consolas"/>
          <w:color w:val="A31515"/>
        </w:rPr>
        <w:t>Hegde</w:t>
      </w:r>
      <w:r>
        <w:rPr/>
        <w:t xml:space="preserve"> maps to the same fake surname in every variant (full name, ALL-CAPS, </w:t>
      </w:r>
      <w:r>
        <w:rPr>
          <w:rFonts w:ascii="Consolas" w:hAnsi="Consolas" w:eastAsia="Consolas"/>
          <w:color w:val="A31515"/>
        </w:rPr>
        <w:t>Mr. Hegde</w:t>
      </w:r>
      <w:r>
        <w:rPr/>
        <w:t>, tracked change).</w:t>
      </w:r>
    </w:p>
    <w:p>
      <w:pPr>
        <w:pStyle w:val="ListBullet"/>
      </w:pPr>
      <w:r>
        <w:rPr/>
        <w:t xml:space="preserve">Structure identical: </w:t>
      </w:r>
      <w:r>
        <w:rPr>
          <w:b/>
        </w:rPr>
        <w:t>yes</w:t>
      </w:r>
      <w:r>
        <w:rPr/>
        <w:t xml:space="preserve">. Same paragraphs, tables, runs and run formatting, plus images, hyperlinks and sections. The split-run name </w:t>
      </w:r>
      <w:r>
        <w:rPr>
          <w:rFonts w:ascii="Consolas" w:hAnsi="Consolas" w:eastAsia="Consolas"/>
          <w:color w:val="A31515"/>
        </w:rPr>
        <w:t>Kus|hal Subbayya |Hegde</w:t>
      </w:r>
      <w:r>
        <w:rPr/>
        <w:t xml:space="preserve"> (bold | italic | plain) becomes </w:t>
      </w:r>
      <w:r>
        <w:rPr>
          <w:rFonts w:ascii="Consolas" w:hAnsi="Consolas" w:eastAsia="Consolas"/>
          <w:color w:val="A31515"/>
        </w:rPr>
        <w:t>Albert | Thomas | Allen</w:t>
      </w:r>
      <w:r>
        <w:rPr/>
        <w:t xml:space="preserve"> with the same bold/italic/plain runs.</w:t>
      </w:r>
    </w:p>
    <w:p>
      <w:pPr>
        <w:pStyle w:val="ListBullet"/>
      </w:pPr>
      <w:r>
        <w:rPr/>
        <w:t>Runtime: 1.41s for the benchmark incl. OCR. About 5s per 3.6k paragraphs without OCR, so a 400-page RHP should take well under a minute plus ~1–2s per embedded image.</w:t>
      </w:r>
    </w:p>
    <w:p>
      <w:pPr>
        <w:pStyle w:val="Heading2"/>
      </w:pPr>
      <w:r>
        <w:rPr/>
        <w:t xml:space="preserve">3.5 Real </w:t>
      </w:r>
      <w:r>
        <w:rPr>
          <w:rFonts w:ascii="Consolas" w:hAnsi="Consolas" w:eastAsia="Consolas"/>
          <w:color w:val="A31515"/>
        </w:rPr>
        <w:t>Red Herring Prospectus.docx</w:t>
      </w:r>
      <w:r>
        <w:rPr/>
        <w:t xml:space="preserve"> (full document, no ground truth)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Metric</w:t>
            </w:r>
          </w:p>
        </w:tc>
        <w:tc>
          <w:tcPr>
            <w:tcW w:type="dxa" w:w="4986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sz w:val="18"/>
              </w:rPr>
              <w:t>Unique entities pseudonymized</w:t>
            </w:r>
          </w:p>
        </w:tc>
        <w:tc>
          <w:tcPr>
            <w:tcW w:type="dxa" w:w="4986"/>
            <w:shd w:val="clear" w:color="auto" w:fill="F2F2F2"/>
          </w:tcPr>
          <w:p>
            <w:pPr>
              <w:spacing w:after="0"/>
            </w:pPr>
            <w:r>
              <w:rPr>
                <w:b/>
                <w:sz w:val="18"/>
              </w:rPr>
              <w:t>282</w:t>
            </w:r>
            <w:r>
              <w:rPr>
                <w:sz w:val="18"/>
              </w:rPr>
              <w:t xml:space="preserve"> (Names 77, Organizations 79, Addresses 42, Contacts 64, Identifiers 18, DOB 2)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sz w:val="18"/>
              </w:rPr>
              <w:t>Run-level text replacements</w:t>
            </w:r>
          </w:p>
        </w:tc>
        <w:tc>
          <w:tcPr>
            <w:tcW w:type="dxa" w:w="4986"/>
            <w:shd w:val="clear" w:color="auto" w:fill="F2F2F2"/>
          </w:tcPr>
          <w:p>
            <w:pPr>
              <w:spacing w:after="0"/>
            </w:pPr>
            <w:r>
              <w:rPr>
                <w:b/>
                <w:sz w:val="18"/>
              </w:rPr>
              <w:t>736</w:t>
            </w:r>
            <w:r>
              <w:rPr>
                <w:sz w:val="18"/>
              </w:rPr>
              <w:t xml:space="preserve"> paragraph spans, plus 79 other XML nodes (fields, tracked changes, properties)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sz w:val="18"/>
              </w:rPr>
              <w:t>Embedded images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sz w:val="18"/>
              </w:rPr>
              <w:t>8 scanned: 2 ID cards redacted, 6 logos/graphics left unchanged (4 below 120 px)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sz w:val="18"/>
              </w:rPr>
              <w:t>Image regions redacted</w:t>
            </w:r>
          </w:p>
        </w:tc>
        <w:tc>
          <w:tcPr>
            <w:tcW w:type="dxa" w:w="4986"/>
            <w:shd w:val="clear" w:color="auto" w:fill="F2F2F2"/>
          </w:tcPr>
          <w:p>
            <w:pPr>
              <w:spacing w:after="0"/>
            </w:pPr>
            <w:r>
              <w:rPr>
                <w:b/>
                <w:sz w:val="18"/>
              </w:rPr>
              <w:t>12</w:t>
            </w:r>
            <w:r>
              <w:rPr>
                <w:sz w:val="18"/>
              </w:rPr>
              <w:t xml:space="preserve"> OCR text regions + </w:t>
            </w:r>
            <w:r>
              <w:rPr>
                <w:b/>
                <w:sz w:val="18"/>
              </w:rPr>
              <w:t>2</w:t>
            </w:r>
            <w:r>
              <w:rPr>
                <w:sz w:val="18"/>
              </w:rPr>
              <w:t xml:space="preserve"> holder photos + </w:t>
            </w:r>
            <w:r>
              <w:rPr>
                <w:b/>
                <w:sz w:val="18"/>
              </w:rPr>
              <w:t>2</w:t>
            </w:r>
            <w:r>
              <w:rPr>
                <w:sz w:val="18"/>
              </w:rPr>
              <w:t xml:space="preserve"> QR codes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sz w:val="18"/>
              </w:rPr>
              <w:t>PAN card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sz w:val="18"/>
              </w:rPr>
              <w:t>name, father's name, PAN, DOB replaced. Photo and QR pixelated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sz w:val="18"/>
              </w:rPr>
              <w:t>Aadhaar card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sz w:val="18"/>
              </w:rPr>
              <w:t>name, father's name, DOB, Aadhaar no. (front and back), address replaced. Photo and QR pixelated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sz w:val="18"/>
              </w:rPr>
              <w:t>XML integrity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sz w:val="18"/>
              </w:rPr>
              <w:t xml:space="preserve">160 XML parts, </w:t>
            </w:r>
            <w:r>
              <w:rPr>
                <w:b/>
                <w:sz w:val="18"/>
              </w:rPr>
              <w:t>0</w:t>
            </w:r>
            <w:r>
              <w:rPr>
                <w:sz w:val="18"/>
              </w:rPr>
              <w:t xml:space="preserve"> parse errors, zip CRC clean, re-opens in python-docx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sz w:val="18"/>
              </w:rPr>
              <w:t>Structure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sz w:val="18"/>
              </w:rPr>
              <w:t>identical: 4,561 paragraphs, 76 tables, 48,819 runs, same run-format signature, 8 images, 85 sections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sz w:val="18"/>
              </w:rPr>
              <w:t>Output size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sz w:val="18"/>
              </w:rPr>
              <w:t>1.61 MB (input 1.84 MB)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sz w:val="18"/>
              </w:rPr>
              <w:t>Runtime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sz w:val="18"/>
              </w:rPr>
              <w:t>15.8 s including OCR</w:t>
            </w:r>
          </w:p>
        </w:tc>
      </w:tr>
    </w:tbl>
    <w:p>
      <w:pPr>
        <w:spacing w:after="40"/>
      </w:pPr>
    </w:p>
    <w:p>
      <w:r>
        <w:rPr>
          <w:b/>
        </w:rPr>
        <w:t>Self-leak audit</w:t>
      </w:r>
      <w:r>
        <w:rPr/>
        <w:t xml:space="preserve"> (</w:t>
      </w:r>
      <w:r>
        <w:rPr>
          <w:rFonts w:ascii="Consolas" w:hAnsi="Consolas" w:eastAsia="Consolas"/>
          <w:color w:val="A31515"/>
        </w:rPr>
        <w:t>eval/self_audit.py</w:t>
      </w:r>
      <w:r>
        <w:rPr/>
        <w:t xml:space="preserve">). Each of the 282 detected originals is searched for in the output package with the benchmark's leak matcher (paragraph text, other XML text/attributes, link targets, OCR of output images). </w:t>
      </w:r>
      <w:r>
        <w:rPr>
          <w:b/>
        </w:rPr>
        <w:t>272/282 are gone. 10 still match:</w:t>
      </w:r>
    </w:p>
    <w:p>
      <w:pPr>
        <w:pStyle w:val="ListBullet"/>
      </w:pPr>
      <w:r>
        <w:rPr/>
        <w:t>7 office-address variants (registered office in Birdewadi/Chakan, corporate office in Baner, BRLM office at Inspire BKC). The detected form was replaced, but the same address also appears written differently (</w:t>
      </w:r>
      <w:r>
        <w:rPr>
          <w:rFonts w:ascii="Consolas" w:hAnsi="Consolas" w:eastAsia="Consolas"/>
          <w:color w:val="A31515"/>
        </w:rPr>
        <w:t>Tower-2</w:t>
      </w:r>
      <w:r>
        <w:rPr/>
        <w:t xml:space="preserve"> vs </w:t>
      </w:r>
      <w:r>
        <w:rPr>
          <w:rFonts w:ascii="Consolas" w:hAnsi="Consolas" w:eastAsia="Consolas"/>
          <w:color w:val="A31515"/>
        </w:rPr>
        <w:t>Tower 2</w:t>
      </w:r>
      <w:r>
        <w:rPr/>
        <w:t xml:space="preserve">, </w:t>
      </w:r>
      <w:r>
        <w:rPr>
          <w:rFonts w:ascii="Consolas" w:hAnsi="Consolas" w:eastAsia="Consolas"/>
          <w:color w:val="A31515"/>
        </w:rPr>
        <w:t>Building No.</w:t>
      </w:r>
      <w:r>
        <w:rPr/>
        <w:t xml:space="preserve"> vs </w:t>
      </w:r>
      <w:r>
        <w:rPr>
          <w:rFonts w:ascii="Consolas" w:hAnsi="Consolas" w:eastAsia="Consolas"/>
          <w:color w:val="A31515"/>
        </w:rPr>
        <w:t>No</w:t>
      </w:r>
      <w:r>
        <w:rPr/>
        <w:t xml:space="preserve">, split across table cells or lines), and those copies survive. </w:t>
      </w:r>
      <w:r>
        <w:rPr>
          <w:b/>
        </w:rPr>
        <w:t>Real leak.</w:t>
      </w:r>
    </w:p>
    <w:p>
      <w:pPr>
        <w:pStyle w:val="ListBullet"/>
      </w:pPr>
      <w:r>
        <w:rPr>
          <w:rFonts w:ascii="Consolas" w:hAnsi="Consolas" w:eastAsia="Consolas"/>
          <w:color w:val="A31515"/>
        </w:rPr>
        <w:t>State Bank of India</w:t>
      </w:r>
      <w:r>
        <w:rPr/>
        <w:t>: registered, but one occurrence (</w:t>
      </w:r>
      <w:r>
        <w:rPr>
          <w:rFonts w:ascii="Consolas" w:hAnsi="Consolas" w:eastAsia="Consolas"/>
          <w:color w:val="A31515"/>
        </w:rPr>
        <w:t>State Bank of India, Industrial Finance…</w:t>
      </w:r>
      <w:r>
        <w:rPr/>
        <w:t>) survives.</w:t>
      </w:r>
    </w:p>
    <w:p>
      <w:pPr>
        <w:pStyle w:val="ListBullet"/>
      </w:pPr>
      <w:r>
        <w:rPr>
          <w:rFonts w:ascii="Consolas" w:hAnsi="Consolas" w:eastAsia="Consolas"/>
          <w:color w:val="A31515"/>
        </w:rPr>
        <w:t>Account Bank</w:t>
      </w:r>
      <w:r>
        <w:rPr/>
        <w:t xml:space="preserve"> (from </w:t>
      </w:r>
      <w:r>
        <w:rPr>
          <w:rFonts w:ascii="Consolas" w:hAnsi="Consolas" w:eastAsia="Consolas"/>
          <w:color w:val="A31515"/>
        </w:rPr>
        <w:t>Public Offer Account Bank</w:t>
      </w:r>
      <w:r>
        <w:rPr/>
        <w:t xml:space="preserve">) and </w:t>
      </w:r>
      <w:r>
        <w:rPr>
          <w:rFonts w:ascii="Consolas" w:hAnsi="Consolas" w:eastAsia="Consolas"/>
          <w:color w:val="A31515"/>
        </w:rPr>
        <w:t>Registrar of Companies, Maharashtra at Pune</w:t>
      </w:r>
      <w:r>
        <w:rPr/>
        <w:t xml:space="preserve"> (tagged ADDRESS) are detector false positives. Their text surviving is the correct outcome.</w:t>
      </w:r>
    </w:p>
    <w:p>
      <w:r>
        <w:rPr/>
        <w:t>The audit only checks values the detector found. PII the detector never saw needs a ground truth (section 6).</w:t>
      </w:r>
    </w:p>
    <w:p>
      <w:pPr>
        <w:pStyle w:val="Heading1"/>
      </w:pPr>
      <w:r>
        <w:rPr/>
        <w:t>4. Error analysis</w:t>
      </w:r>
    </w:p>
    <w:p>
      <w:pPr>
        <w:pStyle w:val="Heading2"/>
      </w:pPr>
      <w:r>
        <w:rPr/>
        <w:t>4.1 False negatives (PII that got through, or nearly did)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493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Case</w:t>
            </w:r>
          </w:p>
        </w:tc>
        <w:tc>
          <w:tcPr>
            <w:tcW w:type="dxa" w:w="2493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Why it was missed</w:t>
            </w:r>
          </w:p>
        </w:tc>
        <w:tc>
          <w:tcPr>
            <w:tcW w:type="dxa" w:w="2493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Impact</w:t>
            </w:r>
          </w:p>
        </w:tc>
        <w:tc>
          <w:tcPr>
            <w:tcW w:type="dxa" w:w="2493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Fix</w:t>
            </w:r>
          </w:p>
        </w:tc>
      </w:tr>
      <w:tr>
        <w:tc>
          <w:tcPr>
            <w:tcW w:type="dxa" w:w="2493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A31515"/>
                <w:sz w:val="18"/>
              </w:rPr>
              <w:t>Kotak Mahindra Capital Company</w:t>
            </w:r>
          </w:p>
        </w:tc>
        <w:tc>
          <w:tcPr>
            <w:tcW w:type="dxa" w:w="2493"/>
          </w:tcPr>
          <w:p>
            <w:pPr>
              <w:spacing w:after="0"/>
            </w:pPr>
            <w:r>
              <w:rPr>
                <w:sz w:val="18"/>
              </w:rPr>
              <w:t>No legal suffix (</w:t>
            </w:r>
            <w:r>
              <w:rPr>
                <w:rFonts w:ascii="Consolas" w:hAnsi="Consolas" w:eastAsia="Consolas"/>
                <w:color w:val="A31515"/>
                <w:sz w:val="18"/>
              </w:rPr>
              <w:t>Limited</w:t>
            </w:r>
            <w:r>
              <w:rPr>
                <w:sz w:val="18"/>
              </w:rPr>
              <w:t>/</w:t>
            </w:r>
            <w:r>
              <w:rPr>
                <w:rFonts w:ascii="Consolas" w:hAnsi="Consolas" w:eastAsia="Consolas"/>
                <w:color w:val="A31515"/>
                <w:sz w:val="18"/>
              </w:rPr>
              <w:t>Ltd</w:t>
            </w:r>
            <w:r>
              <w:rPr>
                <w:sz w:val="18"/>
              </w:rPr>
              <w:t>/</w:t>
            </w:r>
            <w:r>
              <w:rPr>
                <w:rFonts w:ascii="Consolas" w:hAnsi="Consolas" w:eastAsia="Consolas"/>
                <w:color w:val="A31515"/>
                <w:sz w:val="18"/>
              </w:rPr>
              <w:t>LLP</w:t>
            </w:r>
            <w:r>
              <w:rPr>
                <w:sz w:val="18"/>
              </w:rPr>
              <w:t>) and never seen elsewhere with one, so nothing to propagate from</w:t>
            </w:r>
          </w:p>
        </w:tc>
        <w:tc>
          <w:tcPr>
            <w:tcW w:type="dxa" w:w="2493"/>
            <w:shd w:val="clear" w:color="auto" w:fill="F2F2F2"/>
          </w:tcPr>
          <w:p>
            <w:pPr>
              <w:spacing w:after="0"/>
            </w:pPr>
            <w:r>
              <w:rPr>
                <w:b/>
                <w:sz w:val="18"/>
              </w:rPr>
              <w:t>Full leak</w:t>
            </w:r>
            <w:r>
              <w:rPr>
                <w:sz w:val="18"/>
              </w:rPr>
              <w:t xml:space="preserve"> (org)</w:t>
            </w:r>
          </w:p>
        </w:tc>
        <w:tc>
          <w:tcPr>
            <w:tcW w:type="dxa" w:w="2493"/>
          </w:tcPr>
          <w:p>
            <w:pPr>
              <w:spacing w:after="0"/>
            </w:pPr>
            <w:r>
              <w:rPr>
                <w:sz w:val="18"/>
              </w:rPr>
              <w:t xml:space="preserve">Enable spaCy ORG, add a curated org gazetteer (SEBI intermediary list), or accept </w:t>
            </w:r>
            <w:r>
              <w:rPr>
                <w:rFonts w:ascii="Consolas" w:hAnsi="Consolas" w:eastAsia="Consolas"/>
                <w:color w:val="A31515"/>
                <w:sz w:val="18"/>
              </w:rPr>
              <w:t>&lt;Distinctive&gt; ... Company</w:t>
            </w:r>
            <w:r>
              <w:rPr>
                <w:sz w:val="18"/>
              </w:rPr>
              <w:t xml:space="preserve"> with ≥2 non-generic tokens</w:t>
            </w:r>
          </w:p>
        </w:tc>
      </w:tr>
      <w:tr>
        <w:tc>
          <w:tcPr>
            <w:tcW w:type="dxa" w:w="2493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A31515"/>
                <w:sz w:val="18"/>
              </w:rPr>
              <w:t>Subbayya Gowda</w:t>
            </w:r>
          </w:p>
        </w:tc>
        <w:tc>
          <w:tcPr>
            <w:tcW w:type="dxa" w:w="2493"/>
          </w:tcPr>
          <w:p>
            <w:pPr>
              <w:spacing w:after="0"/>
            </w:pPr>
            <w:r>
              <w:rPr>
                <w:sz w:val="18"/>
              </w:rPr>
              <w:t>Neither token is in the gazetteer, no honorific, no label</w:t>
            </w:r>
          </w:p>
        </w:tc>
        <w:tc>
          <w:tcPr>
            <w:tcW w:type="dxa" w:w="2493"/>
            <w:shd w:val="clear" w:color="auto" w:fill="F2F2F2"/>
          </w:tcPr>
          <w:p>
            <w:pPr>
              <w:spacing w:after="0"/>
            </w:pPr>
            <w:r>
              <w:rPr>
                <w:b/>
                <w:sz w:val="18"/>
              </w:rPr>
              <w:t>Partial leak</w:t>
            </w:r>
            <w:r>
              <w:rPr>
                <w:sz w:val="18"/>
              </w:rPr>
              <w:t xml:space="preserve">: </w:t>
            </w:r>
            <w:r>
              <w:rPr>
                <w:rFonts w:ascii="Consolas" w:hAnsi="Consolas" w:eastAsia="Consolas"/>
                <w:color w:val="A31515"/>
                <w:sz w:val="18"/>
              </w:rPr>
              <w:t>Subbayya</w:t>
            </w:r>
            <w:r>
              <w:rPr>
                <w:sz w:val="18"/>
              </w:rPr>
              <w:t xml:space="preserve"> is replaced by propagation (seen in a promoter's name), </w:t>
            </w:r>
            <w:r>
              <w:rPr>
                <w:rFonts w:ascii="Consolas" w:hAnsi="Consolas" w:eastAsia="Consolas"/>
                <w:color w:val="A31515"/>
                <w:sz w:val="18"/>
              </w:rPr>
              <w:t>Gowda</w:t>
            </w:r>
            <w:r>
              <w:rPr>
                <w:sz w:val="18"/>
              </w:rPr>
              <w:t xml:space="preserve"> survives</w:t>
            </w:r>
          </w:p>
        </w:tc>
        <w:tc>
          <w:tcPr>
            <w:tcW w:type="dxa" w:w="2493"/>
          </w:tcPr>
          <w:p>
            <w:pPr>
              <w:spacing w:after="0"/>
            </w:pPr>
            <w:r>
              <w:rPr>
                <w:sz w:val="18"/>
              </w:rPr>
              <w:t>spaCy PERSON, a larger surname list, or a "capitalised bigram next to a known name token" rule</w:t>
            </w:r>
          </w:p>
        </w:tc>
      </w:tr>
      <w:tr>
        <w:tc>
          <w:tcPr>
            <w:tcW w:type="dxa" w:w="2493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A31515"/>
                <w:sz w:val="18"/>
              </w:rPr>
              <w:t>rakhi shetty</w:t>
            </w:r>
          </w:p>
        </w:tc>
        <w:tc>
          <w:tcPr>
            <w:tcW w:type="dxa" w:w="2493"/>
          </w:tcPr>
          <w:p>
            <w:pPr>
              <w:spacing w:after="0"/>
            </w:pPr>
            <w:r>
              <w:rPr>
                <w:sz w:val="18"/>
              </w:rPr>
              <w:t>Lower-case, so every case-sensitive name rule skips it</w:t>
            </w:r>
          </w:p>
        </w:tc>
        <w:tc>
          <w:tcPr>
            <w:tcW w:type="dxa" w:w="2493"/>
            <w:shd w:val="clear" w:color="auto" w:fill="F2F2F2"/>
          </w:tcPr>
          <w:p>
            <w:pPr>
              <w:spacing w:after="0"/>
            </w:pPr>
            <w:r>
              <w:rPr>
                <w:b/>
                <w:sz w:val="18"/>
              </w:rPr>
              <w:t>No leak</w:t>
            </w:r>
            <w:r>
              <w:rPr>
                <w:sz w:val="18"/>
              </w:rPr>
              <w:t xml:space="preserve">: pass 2 matches the registered first+last variant of </w:t>
            </w:r>
            <w:r>
              <w:rPr>
                <w:rFonts w:ascii="Consolas" w:hAnsi="Consolas" w:eastAsia="Consolas"/>
                <w:color w:val="A31515"/>
                <w:sz w:val="18"/>
              </w:rPr>
              <w:t>Rakhi Girija Shetty</w:t>
            </w:r>
            <w:r>
              <w:rPr>
                <w:sz w:val="18"/>
              </w:rPr>
              <w:t xml:space="preserve"> case-insensitively</w:t>
            </w:r>
          </w:p>
        </w:tc>
        <w:tc>
          <w:tcPr>
            <w:tcW w:type="dxa" w:w="2493"/>
          </w:tcPr>
          <w:p>
            <w:pPr>
              <w:spacing w:after="0"/>
            </w:pPr>
            <w:r>
              <w:rPr>
                <w:sz w:val="18"/>
              </w:rPr>
              <w:t>(Shows why the two-pass design matters)</w:t>
            </w:r>
          </w:p>
        </w:tc>
      </w:tr>
    </w:tbl>
    <w:p>
      <w:pPr>
        <w:spacing w:after="40"/>
      </w:pPr>
    </w:p>
    <w:p>
      <w:r>
        <w:rPr/>
        <w:t xml:space="preserve">What leaks or would leak on the </w:t>
      </w:r>
      <w:r>
        <w:rPr>
          <w:i/>
        </w:rPr>
        <w:t>real</w:t>
      </w:r>
      <w:r>
        <w:rPr/>
        <w:t xml:space="preserve"> RHP, ranked by risk:</w:t>
      </w:r>
    </w:p>
    <w:p>
      <w:pPr>
        <w:pStyle w:val="ListNumber"/>
      </w:pPr>
      <w:r>
        <w:rPr/>
        <w:t xml:space="preserve">Office addresses repeated with different punctuation/line breaks (seen in section 3.5). Fix: token-normalised address propagation (hyphens, </w:t>
      </w:r>
      <w:r>
        <w:rPr>
          <w:rFonts w:ascii="Consolas" w:hAnsi="Consolas" w:eastAsia="Consolas"/>
          <w:color w:val="A31515"/>
        </w:rPr>
        <w:t>No.</w:t>
      </w:r>
      <w:r>
        <w:rPr/>
        <w:t>/</w:t>
      </w:r>
      <w:r>
        <w:rPr>
          <w:rFonts w:ascii="Consolas" w:hAnsi="Consolas" w:eastAsia="Consolas"/>
          <w:color w:val="A31515"/>
        </w:rPr>
        <w:t>No</w:t>
      </w:r>
      <w:r>
        <w:rPr/>
        <w:t>, cell and line joins) in pass 2.</w:t>
      </w:r>
    </w:p>
    <w:p>
      <w:pPr>
        <w:pStyle w:val="ListNumber"/>
      </w:pPr>
      <w:r>
        <w:rPr/>
        <w:t xml:space="preserve">People named only in running prose with no honorific or label and uncommon names (KMP bios, litigation sections). Mitigation: spaCy + review of </w:t>
      </w:r>
      <w:r>
        <w:rPr>
          <w:rFonts w:ascii="Consolas" w:hAnsi="Consolas" w:eastAsia="Consolas"/>
          <w:color w:val="A31515"/>
        </w:rPr>
        <w:t>report.json</w:t>
      </w:r>
      <w:r>
        <w:rPr/>
        <w:t xml:space="preserve"> detections.</w:t>
      </w:r>
    </w:p>
    <w:p>
      <w:pPr>
        <w:pStyle w:val="ListNumber"/>
      </w:pPr>
      <w:r>
        <w:rPr/>
        <w:t>Organisations without a suffix (group companies, customers, lenders referred to by brand). Same mitigation as above.</w:t>
      </w:r>
    </w:p>
    <w:p>
      <w:pPr>
        <w:pStyle w:val="ListNumber"/>
      </w:pPr>
      <w:r>
        <w:rPr/>
        <w:t>Low-resolution or rotated scans. Mitigation: 2x upscale, psm-11 retry, and the fail-safe blur on ID-looking images with no hits.</w:t>
      </w:r>
    </w:p>
    <w:p>
      <w:pPr>
        <w:pStyle w:val="ListNumber"/>
      </w:pPr>
      <w:r>
        <w:rPr/>
        <w:t xml:space="preserve">Hindi-script names on the Aadhaar/PAN card. On the real RHP, the Devanagari name, father's name and address on the Aadhaar card stay readable with the default </w:t>
      </w:r>
      <w:r>
        <w:rPr>
          <w:rFonts w:ascii="Consolas" w:hAnsi="Consolas" w:eastAsia="Consolas"/>
          <w:color w:val="A31515"/>
        </w:rPr>
        <w:t>eng</w:t>
      </w:r>
      <w:r>
        <w:rPr/>
        <w:t xml:space="preserve"> OCR. Mitigation: </w:t>
      </w:r>
      <w:r>
        <w:rPr>
          <w:rFonts w:ascii="Consolas" w:hAnsi="Consolas" w:eastAsia="Consolas"/>
          <w:color w:val="A31515"/>
        </w:rPr>
        <w:t>--ocr-lang eng+hin</w:t>
      </w:r>
      <w:r>
        <w:rPr/>
        <w:t xml:space="preserve"> (installed via </w:t>
      </w:r>
      <w:r>
        <w:rPr>
          <w:rFonts w:ascii="Consolas" w:hAnsi="Consolas" w:eastAsia="Consolas"/>
          <w:color w:val="A31515"/>
        </w:rPr>
        <w:t>packages.txt</w:t>
      </w:r>
      <w:r>
        <w:rPr/>
        <w:t>/Dockerfile).</w:t>
      </w:r>
    </w:p>
    <w:p>
      <w:pPr>
        <w:pStyle w:val="Heading2"/>
      </w:pPr>
      <w:r>
        <w:rPr/>
        <w:t>4.2 False positives (non-PII that we changed)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Trap / case</w:t>
            </w:r>
          </w:p>
        </w:tc>
        <w:tc>
          <w:tcPr>
            <w:tcW w:type="dxa" w:w="3324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Outcome</w:t>
            </w:r>
          </w:p>
        </w:tc>
        <w:tc>
          <w:tcPr>
            <w:tcW w:type="dxa" w:w="3324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Mechanism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A31515"/>
                <w:sz w:val="18"/>
              </w:rPr>
              <w:t>SEBI ICDR Regulations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A31515"/>
                <w:sz w:val="18"/>
              </w:rPr>
              <w:t>Companies Act, 2013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A31515"/>
                <w:sz w:val="18"/>
              </w:rPr>
              <w:t>Section 2(76)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A31515"/>
                <w:sz w:val="18"/>
              </w:rPr>
              <w:t>Rule 19(2)(b)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preserved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 xml:space="preserve">Name/org rules need a gazetteer name, honorific or legal suffix. Statutory vocabulary is in </w:t>
            </w:r>
            <w:r>
              <w:rPr>
                <w:rFonts w:ascii="Consolas" w:hAnsi="Consolas" w:eastAsia="Consolas"/>
                <w:color w:val="A31515"/>
                <w:sz w:val="18"/>
              </w:rPr>
              <w:t>NAME_STOP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A31515"/>
                <w:sz w:val="18"/>
              </w:rPr>
              <w:t>BSE Limited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A31515"/>
                <w:sz w:val="18"/>
              </w:rPr>
              <w:t>National Stock Exchange of India Limited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A31515"/>
                <w:sz w:val="18"/>
              </w:rPr>
              <w:t>Reserve Bank of India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A31515"/>
                <w:sz w:val="18"/>
              </w:rPr>
              <w:t>Supreme Court of India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preserved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Public-institution allowlist (policy: not personal data)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A31515"/>
                <w:sz w:val="18"/>
              </w:rPr>
              <w:t>INE0ABC01018</w:t>
            </w:r>
            <w:r>
              <w:rPr>
                <w:sz w:val="18"/>
              </w:rPr>
              <w:t xml:space="preserve"> (ISIN) vs SEBI reg. pattern </w:t>
            </w:r>
            <w:r>
              <w:rPr>
                <w:rFonts w:ascii="Consolas" w:hAnsi="Consolas" w:eastAsia="Consolas"/>
                <w:color w:val="A31515"/>
                <w:sz w:val="18"/>
              </w:rPr>
              <w:t>IN?#########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preserved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A31515"/>
                <w:sz w:val="18"/>
              </w:rPr>
              <w:t>INE</w:t>
            </w:r>
            <w:r>
              <w:rPr>
                <w:sz w:val="18"/>
              </w:rPr>
              <w:t xml:space="preserve"> prefix excluded. ISINs contain letters after the prefix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A31515"/>
                <w:sz w:val="18"/>
              </w:rPr>
              <w:t>1,84,89,583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A31515"/>
                <w:sz w:val="18"/>
              </w:rPr>
              <w:t>₹7,100.00 million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A31515"/>
                <w:sz w:val="18"/>
              </w:rPr>
              <w:t>2,43,000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A31515"/>
                <w:sz w:val="18"/>
              </w:rPr>
              <w:t>₹ 5,00,000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preserved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Comma/decimal-aware lookarounds on every numeric pattern (Indian lakh grouping)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Offer and incorporation dates (</w:t>
            </w:r>
            <w:r>
              <w:rPr>
                <w:rFonts w:ascii="Consolas" w:hAnsi="Consolas" w:eastAsia="Consolas"/>
                <w:color w:val="A31515"/>
                <w:sz w:val="18"/>
              </w:rPr>
              <w:t>September 16, 2025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A31515"/>
                <w:sz w:val="18"/>
              </w:rPr>
              <w:t>February 13, 1979</w:t>
            </w:r>
            <w:r>
              <w:rPr>
                <w:sz w:val="18"/>
              </w:rPr>
              <w:t>)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preserved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Dates are only redacted with a birth cue (</w:t>
            </w:r>
            <w:r>
              <w:rPr>
                <w:rFonts w:ascii="Consolas" w:hAnsi="Consolas" w:eastAsia="Consolas"/>
                <w:color w:val="A31515"/>
                <w:sz w:val="18"/>
              </w:rPr>
              <w:t>DOB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A31515"/>
                <w:sz w:val="18"/>
              </w:rPr>
              <w:t>born on</w:t>
            </w:r>
            <w:r>
              <w:rPr>
                <w:sz w:val="18"/>
              </w:rPr>
              <w:t>) or on an ID-card image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A31515"/>
                <w:sz w:val="18"/>
              </w:rPr>
              <w:t>Tel: 91-20-2721 8080</w:t>
            </w:r>
            <w:r>
              <w:rPr>
                <w:sz w:val="18"/>
              </w:rPr>
              <w:t xml:space="preserve"> on the PAN card reverse</w:t>
            </w:r>
          </w:p>
        </w:tc>
        <w:tc>
          <w:tcPr>
            <w:tcW w:type="dxa" w:w="3324"/>
            <w:shd w:val="clear" w:color="auto" w:fill="F2F2F2"/>
          </w:tcPr>
          <w:p>
            <w:pPr>
              <w:spacing w:after="0"/>
            </w:pPr>
            <w:r>
              <w:rPr>
                <w:b/>
                <w:sz w:val="18"/>
              </w:rPr>
              <w:t>was an FP in v1.0</w:t>
            </w:r>
            <w:r>
              <w:rPr>
                <w:sz w:val="18"/>
              </w:rPr>
              <w:t xml:space="preserve"> (read as DOB </w:t>
            </w:r>
            <w:r>
              <w:rPr>
                <w:rFonts w:ascii="Consolas" w:hAnsi="Consolas" w:eastAsia="Consolas"/>
                <w:color w:val="A31515"/>
                <w:sz w:val="18"/>
              </w:rPr>
              <w:t>91-20-2721</w:t>
            </w:r>
            <w:r>
              <w:rPr>
                <w:sz w:val="18"/>
              </w:rPr>
              <w:t xml:space="preserve">), </w:t>
            </w:r>
            <w:r>
              <w:rPr>
                <w:b/>
                <w:sz w:val="18"/>
              </w:rPr>
              <w:t>fixed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 xml:space="preserve">DOB values must be real dates (day ≤ 31, month ≤ 12, year 1920–current), and a date right after </w:t>
            </w:r>
            <w:r>
              <w:rPr>
                <w:rFonts w:ascii="Consolas" w:hAnsi="Consolas" w:eastAsia="Consolas"/>
                <w:color w:val="A31515"/>
                <w:sz w:val="18"/>
              </w:rPr>
              <w:t>Tel</w:t>
            </w:r>
            <w:r>
              <w:rPr>
                <w:sz w:val="18"/>
              </w:rPr>
              <w:t>/</w:t>
            </w:r>
            <w:r>
              <w:rPr>
                <w:rFonts w:ascii="Consolas" w:hAnsi="Consolas" w:eastAsia="Consolas"/>
                <w:color w:val="A31515"/>
                <w:sz w:val="18"/>
              </w:rPr>
              <w:t>Fax</w:t>
            </w:r>
            <w:r>
              <w:rPr>
                <w:sz w:val="18"/>
              </w:rPr>
              <w:t>/</w:t>
            </w:r>
            <w:r>
              <w:rPr>
                <w:rFonts w:ascii="Consolas" w:hAnsi="Consolas" w:eastAsia="Consolas"/>
                <w:color w:val="A31515"/>
                <w:sz w:val="18"/>
              </w:rPr>
              <w:t>Phone</w:t>
            </w:r>
            <w:r>
              <w:rPr>
                <w:sz w:val="18"/>
              </w:rPr>
              <w:t>/</w:t>
            </w:r>
            <w:r>
              <w:rPr>
                <w:rFonts w:ascii="Consolas" w:hAnsi="Consolas" w:eastAsia="Consolas"/>
                <w:color w:val="A31515"/>
                <w:sz w:val="18"/>
              </w:rPr>
              <w:t>Mobile</w:t>
            </w:r>
            <w:r>
              <w:rPr>
                <w:sz w:val="18"/>
              </w:rPr>
              <w:t xml:space="preserve"> is never a DOB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A31515"/>
                <w:sz w:val="18"/>
              </w:rPr>
              <w:t>version 2.1.4.0</w:t>
            </w:r>
            <w:r>
              <w:rPr>
                <w:sz w:val="18"/>
              </w:rPr>
              <w:t xml:space="preserve"> vs IPv4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preserved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>IP validator requires a real address with at least one octet &gt; 9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A31515"/>
                <w:sz w:val="18"/>
              </w:rPr>
              <w:t>Company Secretary and Compliance Officer is responsible…</w:t>
            </w:r>
          </w:p>
        </w:tc>
        <w:tc>
          <w:tcPr>
            <w:tcW w:type="dxa" w:w="3324"/>
            <w:shd w:val="clear" w:color="auto" w:fill="F2F2F2"/>
          </w:tcPr>
          <w:p>
            <w:pPr>
              <w:spacing w:after="0"/>
            </w:pPr>
            <w:r>
              <w:rPr>
                <w:b/>
                <w:sz w:val="18"/>
              </w:rPr>
              <w:t>was an FP in v0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 w:eastAsia="Consolas"/>
                <w:color w:val="A31515"/>
                <w:sz w:val="18"/>
              </w:rPr>
              <w:t>is responsible</w:t>
            </w:r>
            <w:r>
              <w:rPr>
                <w:sz w:val="18"/>
              </w:rPr>
              <w:t xml:space="preserve"> → PERSON), </w:t>
            </w:r>
            <w:r>
              <w:rPr>
                <w:b/>
                <w:sz w:val="18"/>
              </w:rPr>
              <w:t>fixed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18"/>
              </w:rPr>
              <w:t xml:space="preserve">Found by the stress section: the label rule accepted any text after </w:t>
            </w:r>
            <w:r>
              <w:rPr>
                <w:rFonts w:ascii="Consolas" w:hAnsi="Consolas" w:eastAsia="Consolas"/>
                <w:color w:val="A31515"/>
                <w:sz w:val="18"/>
              </w:rPr>
              <w:t>Compliance Officer</w:t>
            </w:r>
            <w:r>
              <w:rPr>
                <w:sz w:val="18"/>
              </w:rPr>
              <w:t xml:space="preserve">. Now it needs an explicit </w:t>
            </w:r>
            <w:r>
              <w:rPr>
                <w:rFonts w:ascii="Consolas" w:hAnsi="Consolas" w:eastAsia="Consolas"/>
                <w:color w:val="A31515"/>
                <w:sz w:val="18"/>
              </w:rPr>
              <w:t>:</w:t>
            </w:r>
            <w:r>
              <w:rPr>
                <w:sz w:val="18"/>
              </w:rPr>
              <w:t>/</w:t>
            </w:r>
            <w:r>
              <w:rPr>
                <w:rFonts w:ascii="Consolas" w:hAnsi="Consolas" w:eastAsia="Consolas"/>
                <w:color w:val="A31515"/>
                <w:sz w:val="18"/>
              </w:rPr>
              <w:t>-</w:t>
            </w:r>
            <w:r>
              <w:rPr>
                <w:sz w:val="18"/>
              </w:rPr>
              <w:t xml:space="preserve"> separator or a capitalised value. v0 preserved 42/43 traps, v1 preserves 43/43</w:t>
            </w:r>
          </w:p>
        </w:tc>
      </w:tr>
    </w:tbl>
    <w:p>
      <w:pPr>
        <w:spacing w:after="40"/>
      </w:pPr>
    </w:p>
    <w:p>
      <w:r>
        <w:rPr/>
        <w:t>Known FP risks on the real RHP that the benchmark doesn't cover:</w:t>
      </w:r>
    </w:p>
    <w:p>
      <w:pPr>
        <w:pStyle w:val="ListBullet"/>
      </w:pPr>
      <w:r>
        <w:rPr/>
        <w:t xml:space="preserve">Surname-only gazetteer rule: a capitalised word followed by a common surname (e.g. a place or a product like </w:t>
      </w:r>
      <w:r>
        <w:rPr>
          <w:rFonts w:ascii="Consolas" w:hAnsi="Consolas" w:eastAsia="Consolas"/>
          <w:color w:val="A31515"/>
        </w:rPr>
        <w:t>Shah Industrial</w:t>
      </w:r>
      <w:r>
        <w:rPr/>
        <w:t>) can come out as PERSON.</w:t>
      </w:r>
    </w:p>
    <w:p>
      <w:pPr>
        <w:pStyle w:val="ListBullet"/>
      </w:pPr>
      <w:r>
        <w:rPr/>
        <w:t xml:space="preserve">Token propagation replaces </w:t>
      </w:r>
      <w:r>
        <w:rPr>
          <w:i/>
        </w:rPr>
        <w:t>any</w:t>
      </w:r>
      <w:r>
        <w:rPr/>
        <w:t xml:space="preserve"> capitalised occurrence of a registered name token (e.g. a second, unrelated </w:t>
      </w:r>
      <w:r>
        <w:rPr>
          <w:rFonts w:ascii="Consolas" w:hAnsi="Consolas" w:eastAsia="Consolas"/>
          <w:color w:val="A31515"/>
        </w:rPr>
        <w:t>Singh</w:t>
      </w:r>
      <w:r>
        <w:rPr/>
        <w:t>). Privacy-safe, but it changes meaning.</w:t>
      </w:r>
    </w:p>
    <w:p>
      <w:pPr>
        <w:pStyle w:val="ListBullet"/>
      </w:pPr>
      <w:r>
        <w:rPr/>
        <w:t>PIN-anchored addresses: a 6-digit number near an address cue word (e.g. a plot area) could be read as a PIN.</w:t>
      </w:r>
    </w:p>
    <w:p>
      <w:pPr>
        <w:pStyle w:val="ListBullet"/>
      </w:pPr>
      <w:r>
        <w:rPr/>
        <w:t>spaCy (if enabled) will add ORG false positives on defined terms. The adapter drops single-token and all-generic entities, but it can't remove them all. This is why it's off by default.</w:t>
      </w:r>
    </w:p>
    <w:p>
      <w:pPr>
        <w:pStyle w:val="Heading1"/>
      </w:pPr>
      <w:r>
        <w:rPr/>
        <w:t>5. Iteration log (how the numbers moved)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</w:trPr>
        <w:tc>
          <w:tcPr>
            <w:tcW w:type="dxa" w:w="1994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Version</w:t>
            </w:r>
          </w:p>
        </w:tc>
        <w:tc>
          <w:tcPr>
            <w:tcW w:type="dxa" w:w="1994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Change</w:t>
            </w:r>
          </w:p>
        </w:tc>
        <w:tc>
          <w:tcPr>
            <w:tcW w:type="dxa" w:w="1994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Lenient F1</w:t>
            </w:r>
          </w:p>
        </w:tc>
        <w:tc>
          <w:tcPr>
            <w:tcW w:type="dxa" w:w="1994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Redaction recall</w:t>
            </w:r>
          </w:p>
        </w:tc>
        <w:tc>
          <w:tcPr>
            <w:tcW w:type="dxa" w:w="1994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Traps preserved</w:t>
            </w:r>
          </w:p>
        </w:tc>
      </w:tr>
      <w:tr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v0.1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first end-to-end run</w:t>
            </w:r>
          </w:p>
        </w:tc>
        <w:tc>
          <w:tcPr>
            <w:tcW w:type="dxa" w:w="1994"/>
          </w:tcPr>
          <w:p>
            <w:pPr>
              <w:spacing w:after="0"/>
              <w:jc w:val="center"/>
            </w:pPr>
            <w:r>
              <w:rPr>
                <w:sz w:val="18"/>
              </w:rPr>
              <w:t>0.930</w:t>
            </w:r>
          </w:p>
        </w:tc>
        <w:tc>
          <w:tcPr>
            <w:tcW w:type="dxa" w:w="1994"/>
          </w:tcPr>
          <w:p>
            <w:pPr>
              <w:spacing w:after="0"/>
              <w:jc w:val="center"/>
            </w:pPr>
            <w:r>
              <w:rPr>
                <w:sz w:val="18"/>
              </w:rPr>
              <w:t>0.960</w:t>
            </w:r>
          </w:p>
        </w:tc>
        <w:tc>
          <w:tcPr>
            <w:tcW w:type="dxa" w:w="1994"/>
          </w:tcPr>
          <w:p>
            <w:pPr>
              <w:spacing w:after="0"/>
              <w:jc w:val="center"/>
            </w:pPr>
            <w:r>
              <w:rPr>
                <w:sz w:val="18"/>
              </w:rPr>
              <w:t>17/17</w:t>
            </w:r>
          </w:p>
        </w:tc>
      </w:tr>
      <w:tr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v0.2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IP lookahead (</w:t>
            </w:r>
            <w:r>
              <w:rPr>
                <w:rFonts w:ascii="Consolas" w:hAnsi="Consolas" w:eastAsia="Consolas"/>
                <w:color w:val="A31515"/>
                <w:sz w:val="18"/>
              </w:rPr>
              <w:t>… 10.24.8.199.</w:t>
            </w:r>
            <w:r>
              <w:rPr>
                <w:sz w:val="18"/>
              </w:rPr>
              <w:t xml:space="preserve">), bank-account </w:t>
            </w:r>
            <w:r>
              <w:rPr>
                <w:rFonts w:ascii="Consolas" w:hAnsi="Consolas" w:eastAsia="Consolas"/>
                <w:color w:val="A31515"/>
                <w:sz w:val="18"/>
              </w:rPr>
              <w:t>,</w:t>
            </w:r>
            <w:r>
              <w:rPr>
                <w:sz w:val="18"/>
              </w:rPr>
              <w:t xml:space="preserve"> lookahead, context-gated passport </w:t>
            </w:r>
            <w:r>
              <w:rPr>
                <w:rFonts w:ascii="Consolas" w:hAnsi="Consolas" w:eastAsia="Consolas"/>
                <w:color w:val="A31515"/>
                <w:sz w:val="18"/>
              </w:rPr>
              <w:t>[A-Z]</w:t>
            </w:r>
            <w:r>
              <w:rPr>
                <w:sz w:val="18"/>
              </w:rPr>
              <w:t xml:space="preserve">, split </w:t>
            </w:r>
            <w:r>
              <w:rPr>
                <w:rFonts w:ascii="Consolas" w:hAnsi="Consolas" w:eastAsia="Consolas"/>
                <w:color w:val="A31515"/>
                <w:sz w:val="18"/>
              </w:rPr>
              <w:t>S/O &lt;name&gt;</w:t>
            </w:r>
            <w:r>
              <w:rPr>
                <w:sz w:val="18"/>
              </w:rPr>
              <w:t xml:space="preserve"> out of OCR addresses</w:t>
            </w:r>
          </w:p>
        </w:tc>
        <w:tc>
          <w:tcPr>
            <w:tcW w:type="dxa" w:w="1994"/>
          </w:tcPr>
          <w:p>
            <w:pPr>
              <w:spacing w:after="0"/>
              <w:jc w:val="center"/>
            </w:pPr>
            <w:r>
              <w:rPr>
                <w:sz w:val="18"/>
              </w:rPr>
              <w:t>0.979</w:t>
            </w:r>
          </w:p>
        </w:tc>
        <w:tc>
          <w:tcPr>
            <w:tcW w:type="dxa" w:w="1994"/>
          </w:tcPr>
          <w:p>
            <w:pPr>
              <w:spacing w:after="0"/>
              <w:jc w:val="center"/>
            </w:pPr>
            <w:r>
              <w:rPr>
                <w:sz w:val="18"/>
              </w:rPr>
              <w:t>0.987</w:t>
            </w:r>
          </w:p>
        </w:tc>
        <w:tc>
          <w:tcPr>
            <w:tcW w:type="dxa" w:w="1994"/>
          </w:tcPr>
          <w:p>
            <w:pPr>
              <w:spacing w:after="0"/>
              <w:jc w:val="center"/>
            </w:pPr>
            <w:r>
              <w:rPr>
                <w:sz w:val="18"/>
              </w:rPr>
              <w:t>17/17</w:t>
            </w:r>
          </w:p>
        </w:tc>
      </w:tr>
      <w:tr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v0.3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 xml:space="preserve">+26 boilerplate RHP sentences (stress set) exposed the </w:t>
            </w:r>
            <w:r>
              <w:rPr>
                <w:rFonts w:ascii="Consolas" w:hAnsi="Consolas" w:eastAsia="Consolas"/>
                <w:color w:val="A31515"/>
                <w:sz w:val="18"/>
              </w:rPr>
              <w:t>is responsible</w:t>
            </w:r>
            <w:r>
              <w:rPr>
                <w:sz w:val="18"/>
              </w:rPr>
              <w:t xml:space="preserve"> label FP</w:t>
            </w:r>
          </w:p>
        </w:tc>
        <w:tc>
          <w:tcPr>
            <w:tcW w:type="dxa" w:w="1994"/>
          </w:tcPr>
          <w:p>
            <w:pPr>
              <w:spacing w:after="0"/>
              <w:jc w:val="center"/>
            </w:pPr>
            <w:r>
              <w:rPr>
                <w:sz w:val="18"/>
              </w:rPr>
              <w:t>0.972</w:t>
            </w:r>
          </w:p>
        </w:tc>
        <w:tc>
          <w:tcPr>
            <w:tcW w:type="dxa" w:w="1994"/>
          </w:tcPr>
          <w:p>
            <w:pPr>
              <w:spacing w:after="0"/>
              <w:jc w:val="center"/>
            </w:pPr>
            <w:r>
              <w:rPr>
                <w:sz w:val="18"/>
              </w:rPr>
              <w:t>0.987</w:t>
            </w:r>
          </w:p>
        </w:tc>
        <w:tc>
          <w:tcPr>
            <w:tcW w:type="dxa" w:w="1994"/>
          </w:tcPr>
          <w:p>
            <w:pPr>
              <w:spacing w:after="0"/>
              <w:jc w:val="center"/>
            </w:pPr>
            <w:r>
              <w:rPr>
                <w:sz w:val="18"/>
              </w:rPr>
              <w:t>42/43</w:t>
            </w:r>
          </w:p>
        </w:tc>
      </w:tr>
      <w:tr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v1.0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label rule needs explicit separator or capitalised value; word-aligned run formatting</w:t>
            </w:r>
          </w:p>
        </w:tc>
        <w:tc>
          <w:tcPr>
            <w:tcW w:type="dxa" w:w="1994"/>
          </w:tcPr>
          <w:p>
            <w:pPr>
              <w:spacing w:after="0"/>
              <w:jc w:val="center"/>
            </w:pPr>
            <w:r>
              <w:rPr>
                <w:sz w:val="18"/>
              </w:rPr>
              <w:t>0.979</w:t>
            </w:r>
          </w:p>
        </w:tc>
        <w:tc>
          <w:tcPr>
            <w:tcW w:type="dxa" w:w="1994"/>
          </w:tcPr>
          <w:p>
            <w:pPr>
              <w:spacing w:after="0"/>
              <w:jc w:val="center"/>
            </w:pPr>
            <w:r>
              <w:rPr>
                <w:sz w:val="18"/>
              </w:rPr>
              <w:t>0.987</w:t>
            </w:r>
          </w:p>
        </w:tc>
        <w:tc>
          <w:tcPr>
            <w:tcW w:type="dxa" w:w="1994"/>
          </w:tcPr>
          <w:p>
            <w:pPr>
              <w:spacing w:after="0"/>
              <w:jc w:val="center"/>
            </w:pPr>
            <w:r>
              <w:rPr>
                <w:sz w:val="18"/>
              </w:rPr>
              <w:t>43/43</w:t>
            </w:r>
          </w:p>
        </w:tc>
      </w:tr>
      <w:tr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>v1.1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rPr>
                <w:sz w:val="18"/>
              </w:rPr>
              <w:t xml:space="preserve">ID photos: Haar faces (raw + equalised) widened to the photo frame, PAN/Aadhaar layout fallback; QR fallback for blurred codes; DOB date validation + phone-label guard; OpenCV pinned &lt; 5 (5.0 drops </w:t>
            </w:r>
            <w:r>
              <w:rPr>
                <w:rFonts w:ascii="Consolas" w:hAnsi="Consolas" w:eastAsia="Consolas"/>
                <w:color w:val="A31515"/>
                <w:sz w:val="18"/>
              </w:rPr>
              <w:t>CascadeClassifier</w:t>
            </w:r>
            <w:r>
              <w:rPr>
                <w:sz w:val="18"/>
              </w:rPr>
              <w:t>)</w:t>
            </w:r>
          </w:p>
        </w:tc>
        <w:tc>
          <w:tcPr>
            <w:tcW w:type="dxa" w:w="1994"/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0.979</w:t>
            </w:r>
          </w:p>
        </w:tc>
        <w:tc>
          <w:tcPr>
            <w:tcW w:type="dxa" w:w="1994"/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0.987</w:t>
            </w:r>
          </w:p>
        </w:tc>
        <w:tc>
          <w:tcPr>
            <w:tcW w:type="dxa" w:w="1994"/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43/43</w:t>
            </w:r>
          </w:p>
        </w:tc>
      </w:tr>
    </w:tbl>
    <w:p>
      <w:pPr>
        <w:spacing w:after="40"/>
      </w:pPr>
    </w:p>
    <w:p>
      <w:pPr>
        <w:pStyle w:val="Heading1"/>
      </w:pPr>
      <w:r>
        <w:rPr/>
        <w:t>6. Ground-truth protocol for the real RHP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4F4F4"/>
          </w:tcPr>
          <w:p>
            <w:r>
              <w:rPr>
                <w:rFonts w:ascii="Consolas" w:hAnsi="Consolas"/>
                <w:sz w:val="16"/>
              </w:rPr>
              <w:t>python eval/annotate.py propose "Red Herring Prospectus.docx" --csv eval/rhp_review.csv   # candidates + context</w:t>
              <w:br/>
            </w:r>
            <w:r>
              <w:rPr>
                <w:rFonts w:ascii="Consolas" w:hAnsi="Consolas"/>
                <w:sz w:val="16"/>
              </w:rPr>
              <w:t>#   label each row TP / FP / TYPE:&lt;X&gt;; append missed PII as FN rows (search promoters, KMP, "Tel", "@", "DIN", "PAN")</w:t>
              <w:br/>
            </w:r>
            <w:r>
              <w:rPr>
                <w:rFonts w:ascii="Consolas" w:hAnsi="Consolas"/>
                <w:sz w:val="16"/>
              </w:rPr>
              <w:t>python eval/annotate.py build-gt eval/rhp_review.csv --out eval/data/rhp_ground_truth.json</w:t>
              <w:br/>
            </w:r>
            <w:r>
              <w:rPr>
                <w:rFonts w:ascii="Consolas" w:hAnsi="Consolas"/>
                <w:sz w:val="16"/>
              </w:rPr>
              <w:t>python eval/evaluate.py --docx "Red Herring Prospectus.docx" --gt eval/data/rhp_ground_truth.json --out eval/results_rhp</w:t>
            </w:r>
          </w:p>
        </w:tc>
      </w:tr>
    </w:tbl>
    <w:p/>
    <w:p>
      <w:r>
        <w:rPr/>
        <w:t xml:space="preserve">Time-boxed sampling: label 100% of structured types (IDs, contacts, DOB) and a stratified random sample of PERSON/ORG/ADDRESS (e.g. 150 rows). Report the sample size next to the scores. Recall on a real document is bounded by what the annotator finds, so also do a targeted FN hunt: search the output for the promoter surnames, </w:t>
      </w:r>
      <w:r>
        <w:rPr>
          <w:rFonts w:ascii="Consolas" w:hAnsi="Consolas" w:eastAsia="Consolas"/>
          <w:color w:val="A31515"/>
        </w:rPr>
        <w:t>@</w:t>
      </w:r>
      <w:r>
        <w:rPr/>
        <w:t xml:space="preserve">, </w:t>
      </w:r>
      <w:r>
        <w:rPr>
          <w:rFonts w:ascii="Consolas" w:hAnsi="Consolas" w:eastAsia="Consolas"/>
          <w:color w:val="A31515"/>
        </w:rPr>
        <w:t>+91</w:t>
      </w:r>
      <w:r>
        <w:rPr/>
        <w:t xml:space="preserve">, </w:t>
      </w:r>
      <w:r>
        <w:rPr>
          <w:rFonts w:ascii="Consolas" w:hAnsi="Consolas" w:eastAsia="Consolas"/>
          <w:color w:val="A31515"/>
        </w:rPr>
        <w:t>DIN</w:t>
      </w:r>
      <w:r>
        <w:rPr/>
        <w:t xml:space="preserve">, </w:t>
      </w:r>
      <w:r>
        <w:rPr>
          <w:rFonts w:ascii="Consolas" w:hAnsi="Consolas" w:eastAsia="Consolas"/>
          <w:color w:val="A31515"/>
        </w:rPr>
        <w:t>PAN</w:t>
      </w:r>
      <w:r>
        <w:rPr/>
        <w:t xml:space="preserve"> and the office PIN codes. The leak test automates this for every GT value.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Evaluation Strategy &amp; Metric Report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