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Adaptive Machine Learning for Financial Fraud Detection</w:t>
      </w:r>
    </w:p>
    <w:p>
      <w:pPr>
        <w:pStyle w:val="Heading1"/>
      </w:pPr>
      <w:r>
        <w:t>Introduction</w:t>
      </w:r>
    </w:p>
    <w:p>
      <w:pPr/>
      <w:r>
        <w:t>Machine learning techniques have improved the ability to identify complex fraud patterns in financial transactions. Fraudulent activity nevertheless remains a rare event relative to legitimate payment volume. This paper investigates whether adaptive retraining narrows that gap.</w:t>
      </w:r>
    </w:p>
    <w:p>
      <w:pPr/>
      <w:r>
        <w:t>Prior studies show that blockchain increases transparency in accounting processes [2]. Transformer-based models outperform traditional machine learning methods in text classification. We do not address natural language inputs in this work.</w:t>
      </w:r>
    </w:p>
    <w:p>
      <w:pPr>
        <w:pStyle w:val="Heading1"/>
      </w:pPr>
      <w:r>
        <w:t>Related Work</w:t>
      </w:r>
    </w:p>
    <w:p>
      <w:pPr/>
      <w:r>
        <w:t>Several studies report that class imbalance degrades the precision of anomaly detectors on transaction data. Graph-based representations reveal collusive behaviour that account-level features cannot capture. According to Smith et al. (2024), learned models adapt to previously unseen fraud schemes.</w:t>
      </w:r>
    </w:p>
    <w:p>
      <w:pPr/>
      <w:r>
        <w:t>Deployed detectors lose a substantial share of their recall within months of release, e.g. as retraining cycles fall behind changing attacker behaviour. Table 1 summarises the reviewed systems.</w:t>
      </w:r>
    </w:p>
    <w:p>
      <w:pPr>
        <w:pStyle w:val="Heading1"/>
      </w:pPr>
      <w:r>
        <w:t>Methodology</w:t>
      </w:r>
    </w:p>
    <w:p>
      <w:pPr/>
      <w:r>
        <w:t>This study uses a quantitative experimental design. The next section describes the proposed retraining framework. We evaluate all models on the same held-out period.</w:t>
      </w:r>
    </w:p>
    <w:p>
      <w:pPr>
        <w:pStyle w:val="Heading1"/>
      </w:pPr>
      <w:r>
        <w:t>Results</w:t>
      </w:r>
    </w:p>
    <w:p>
      <w:pPr/>
      <w:r>
        <w:t>Adaptive retraining raised recall by 8.4 percent relative to the static baseline. Accuracy is a misleading metric when the positive class is rare. Table 2 presents the experimental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