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7B6E4" w14:textId="77777777" w:rsidR="00023222" w:rsidRDefault="00000000">
      <w:pPr>
        <w:spacing w:after="80"/>
        <w:jc w:val="center"/>
      </w:pPr>
      <w:r>
        <w:rPr>
          <w:rFonts w:ascii="Calibri" w:hAnsi="Calibri"/>
          <w:b/>
          <w:color w:val="1F4E78"/>
          <w:sz w:val="36"/>
        </w:rPr>
        <w:t>PREPAL: COMPLETE MASTER DEFENSE DOCUMENT FOR PREDICTIVE FEATURES</w:t>
      </w:r>
    </w:p>
    <w:p w14:paraId="30003A0C" w14:textId="77777777" w:rsidR="00023222" w:rsidRDefault="00000000">
      <w:pPr>
        <w:spacing w:after="360"/>
        <w:jc w:val="center"/>
      </w:pPr>
      <w:r>
        <w:rPr>
          <w:rFonts w:ascii="Calibri" w:hAnsi="Calibri"/>
          <w:i/>
          <w:color w:val="595959"/>
          <w:sz w:val="24"/>
        </w:rPr>
        <w:t>Comprehensive Technical Justification, Code Implementation, Institutional Evaluation &amp; Empirical Research Proof (Good vs. Bad Impacts)</w:t>
      </w:r>
    </w:p>
    <w:p w14:paraId="13BFA372" w14:textId="77777777" w:rsidR="00023222" w:rsidRDefault="00000000">
      <w:pPr>
        <w:pStyle w:val="Heading1"/>
        <w:spacing w:before="280" w:after="120"/>
      </w:pPr>
      <w:r>
        <w:rPr>
          <w:rFonts w:ascii="Calibri" w:hAnsi="Calibri"/>
          <w:color w:val="1F4E78"/>
          <w:sz w:val="32"/>
        </w:rPr>
        <w:t>1. CLASS ATTENDANCE (Module-by-Module Engagement)</w:t>
      </w:r>
    </w:p>
    <w:p w14:paraId="39EE1206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A. How It Is Individually Measured in PrePal</w:t>
      </w:r>
    </w:p>
    <w:p w14:paraId="7D364033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App/UI Mechanism: </w:t>
      </w:r>
      <w:r>
        <w:rPr>
          <w:rFonts w:ascii="Calibri" w:hAnsi="Calibri"/>
        </w:rPr>
        <w:t>Instead of asking students for a single, flat semester attendance average, PrePal captures attendance on a module-by-module basis.</w:t>
      </w:r>
    </w:p>
    <w:p w14:paraId="2549E46F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UI Component: </w:t>
      </w:r>
      <w:r>
        <w:rPr>
          <w:rFonts w:ascii="Calibri" w:hAnsi="Calibri"/>
        </w:rPr>
        <w:t>In QuizActivity.java, students use dedicated dropdown spinners (attendanceSpinners) to select their attendance percentage for each enrolled module.</w:t>
      </w:r>
    </w:p>
    <w:p w14:paraId="1ECD2C33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B. Exact Calculation, Code Implementation &amp; Institutional Methods</w:t>
      </w:r>
    </w:p>
    <w:p w14:paraId="40256B02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Code Logic: </w:t>
      </w:r>
      <w:r>
        <w:rPr>
          <w:rFonts w:ascii="Calibri" w:hAnsi="Calibri"/>
        </w:rPr>
        <w:t>The app maps dropdown selections to percentage values (mapDropdownToPercentage), stores them in a hash map (moduleAttendances), and computes the aggregate mean attendance across all enrolled modules (avgAttendance = sum(moduleAttendances) / N).</w:t>
      </w:r>
    </w:p>
    <w:p w14:paraId="7686F454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Institutional Standard: </w:t>
      </w:r>
      <w:r>
        <w:rPr>
          <w:rFonts w:ascii="Calibri" w:hAnsi="Calibri"/>
        </w:rPr>
        <w:t>This calculation is directly bound to Section 6 of the Saegis Campus Examination By-Laws, which mandates an 80% minimum attendance threshold to be eligible to sit for end-semester examinations.</w:t>
      </w:r>
    </w:p>
    <w:p w14:paraId="32583B18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C. Empirical Positive Impact (GOOD) — Exact Numbers from Research</w:t>
      </w:r>
    </w:p>
    <w:p w14:paraId="7DDFD5DE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Credé, Roch, &amp; Kieszczynka (2010): </w:t>
      </w:r>
      <w:r>
        <w:rPr>
          <w:rFonts w:ascii="Calibri" w:hAnsi="Calibri"/>
        </w:rPr>
        <w:t>In a meta-analytic review across 21,195 students, class attendance demonstrated an exceptionally strong positive correlation with both specific course grades (k = 69, N = 21,195, rho = .44) and overall collegiate cumulative GPA (k = 33, N = 9,243, rho = .41).</w:t>
      </w:r>
    </w:p>
    <w:p w14:paraId="0F1C90CD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Lucey &amp; Grydaki (2023): </w:t>
      </w:r>
      <w:r>
        <w:rPr>
          <w:rFonts w:ascii="Calibri" w:hAnsi="Calibri"/>
        </w:rPr>
        <w:t>Quantile regression tracking proves that regular class attendance acts as an academic safety net, disproportionately protecting struggling students in lower grade percentiles from academic failure.</w:t>
      </w:r>
    </w:p>
    <w:p w14:paraId="55EBB25B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D. Empirical Negative Impact (BAD) — Exact Numbers from Research</w:t>
      </w:r>
    </w:p>
    <w:p w14:paraId="4E263B81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Credé et al. (2010): </w:t>
      </w:r>
      <w:r>
        <w:rPr>
          <w:rFonts w:ascii="Calibri" w:hAnsi="Calibri"/>
        </w:rPr>
        <w:t>Absenteeism is empirically proven to be the strongest behavioral cause of course failure, outperforming poor study habits or low SAT scores in predicting grade deterioration.</w:t>
      </w:r>
    </w:p>
    <w:p w14:paraId="2BC593AA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Saegis Campus By-Law Penalty: </w:t>
      </w:r>
      <w:r>
        <w:rPr>
          <w:rFonts w:ascii="Calibri" w:hAnsi="Calibri"/>
        </w:rPr>
        <w:t xml:space="preserve">When attendance drops below 80%, the student is institutionally disqualified from sitting for the exam. The failed attempt is automatically recorded as an E Grade with 0.00 Grade Points. PrePal's machine learning model mirrors this </w:t>
      </w:r>
      <w:r>
        <w:rPr>
          <w:rFonts w:ascii="Calibri" w:hAnsi="Calibri"/>
        </w:rPr>
        <w:lastRenderedPageBreak/>
        <w:t>institutional penalty by applying an immediate downward quantile drop to the predicted GPA.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0"/>
      </w:tblGrid>
      <w:tr w:rsidR="00023222" w14:paraId="0DDBD5DB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5BEA564" w14:textId="4724C10C" w:rsidR="00023222" w:rsidRDefault="007954C5">
            <w:pPr>
              <w:spacing w:after="0"/>
            </w:pPr>
            <w:r>
              <w:rPr>
                <w:rFonts w:ascii="Calibri" w:hAnsi="Calibri"/>
                <w:b/>
                <w:color w:val="C00000"/>
              </w:rPr>
              <w:t>Point</w:t>
            </w:r>
            <w:r w:rsidR="00000000">
              <w:rPr>
                <w:rFonts w:ascii="Calibri" w:hAnsi="Calibri"/>
                <w:b/>
                <w:color w:val="C00000"/>
              </w:rPr>
              <w:t>:</w:t>
            </w:r>
            <w:r w:rsidR="00000000">
              <w:rPr>
                <w:rFonts w:ascii="Calibri" w:hAnsi="Calibri"/>
                <w:b/>
                <w:color w:val="C00000"/>
              </w:rPr>
              <w:br/>
            </w:r>
            <w:r w:rsidR="00000000">
              <w:rPr>
                <w:rFonts w:ascii="Calibri" w:hAnsi="Calibri"/>
                <w:i/>
                <w:color w:val="262626"/>
              </w:rPr>
              <w:t xml:space="preserve"> our inclusion of class attendance is grounded in the meta-analysis by Credé et al. (2010), which established that attendance is the single strongest behavioral predictor of collegiate GPA (rho = .41, N = 9,243) and course grades (rho = .44, N = 21,195). To prevent predictive noise, PrePal captures attendance on a module-by-module basis. Most importantly, we integrate Section 6 of the Saegis Campus Examination By-Laws: if a student's attendance drops below 80%, our regression model applies an immediate penalty to the predicted GPA, reflecting institutional exam disqualification rules (0.00 grade points).</w:t>
            </w:r>
          </w:p>
        </w:tc>
      </w:tr>
    </w:tbl>
    <w:p w14:paraId="45A7F4F2" w14:textId="77777777" w:rsidR="00023222" w:rsidRDefault="00023222">
      <w:pPr>
        <w:spacing w:after="120"/>
      </w:pPr>
    </w:p>
    <w:p w14:paraId="576CBF34" w14:textId="77777777" w:rsidR="00023222" w:rsidRDefault="00000000">
      <w:pPr>
        <w:pStyle w:val="Heading1"/>
        <w:spacing w:before="280" w:after="120"/>
      </w:pPr>
      <w:r>
        <w:rPr>
          <w:rFonts w:ascii="Calibri" w:hAnsi="Calibri"/>
          <w:color w:val="1F4E78"/>
          <w:sz w:val="32"/>
        </w:rPr>
        <w:t>2. SELF-DIRECTED STUDY HOURS (Weekly Independent Learning Volume)</w:t>
      </w:r>
    </w:p>
    <w:p w14:paraId="01F01F30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A. How It Is Individually Measured in PrePal</w:t>
      </w:r>
    </w:p>
    <w:p w14:paraId="73E91A20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App/UI Mechanism: </w:t>
      </w:r>
      <w:r>
        <w:rPr>
          <w:rFonts w:ascii="Calibri" w:hAnsi="Calibri"/>
        </w:rPr>
        <w:t>Measured as a direct numerical input (studyHours) representing the average number of self-directed study hours the student dedicates per week outside of formal lectures.</w:t>
      </w:r>
    </w:p>
    <w:p w14:paraId="509C257A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B. Exact Calculation, Code Implementation &amp; Institutional Methods</w:t>
      </w:r>
    </w:p>
    <w:p w14:paraId="1156A0CD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SLQF Institutional Benchmark: </w:t>
      </w:r>
      <w:r>
        <w:rPr>
          <w:rFonts w:ascii="Calibri" w:hAnsi="Calibri"/>
        </w:rPr>
        <w:t>To avoid arbitrary numerical boundaries, PrePal benchmarks study hours against the Sri Lanka Qualifications Framework (SLQF) credit system.</w:t>
      </w:r>
    </w:p>
    <w:p w14:paraId="43638607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Notional Learning Hours: </w:t>
      </w:r>
      <w:r>
        <w:rPr>
          <w:rFonts w:ascii="Calibri" w:hAnsi="Calibri"/>
        </w:rPr>
        <w:t>Under SLQF standards, 1 Credit equals 50 Notional Learning Hours per academic year (including direct classroom contact, self-learning, and assessment preparation time).</w:t>
      </w:r>
    </w:p>
    <w:p w14:paraId="5C19A52A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Dynamic Workload Ratio: </w:t>
      </w:r>
      <w:r>
        <w:rPr>
          <w:rFonts w:ascii="Calibri" w:hAnsi="Calibri"/>
        </w:rPr>
        <w:t>PrePal calculates a personalized ratio by evaluating whether the student's independent study hours satisfy the required volume of self-learning hours relative to their total registered credits for that semester.</w:t>
      </w:r>
    </w:p>
    <w:p w14:paraId="5EE2284E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C. Empirical Positive Impact (GOOD) — Exact Numbers from Research</w:t>
      </w:r>
    </w:p>
    <w:p w14:paraId="25310F54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Zubair et al. (2024): </w:t>
      </w:r>
      <w:r>
        <w:rPr>
          <w:rFonts w:ascii="Calibri" w:hAnsi="Calibri"/>
        </w:rPr>
        <w:t>Statistical regression analysis confirms that students dedicating above 6 hours per week to independent study consistently achieve significantly higher final GPAs compared to lower-volume cohorts.</w:t>
      </w:r>
    </w:p>
    <w:p w14:paraId="6625DEEF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Theobald (2025): </w:t>
      </w:r>
      <w:r>
        <w:rPr>
          <w:rFonts w:ascii="Calibri" w:hAnsi="Calibri"/>
        </w:rPr>
        <w:t>Daily diary tracking over 30-day exam windows proves that when study hours are combined with self-regulated learning (SRL) strategies, students achieve higher academic goal attainment and lower negative emotional affect.</w:t>
      </w:r>
    </w:p>
    <w:p w14:paraId="55E6535C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lastRenderedPageBreak/>
        <w:t>D. Empirical Negative Impact (BAD) — Exact Numbers from Research</w:t>
      </w:r>
    </w:p>
    <w:p w14:paraId="0018D6C7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Zubair et al. (2024): </w:t>
      </w:r>
      <w:r>
        <w:rPr>
          <w:rFonts w:ascii="Calibri" w:hAnsi="Calibri"/>
        </w:rPr>
        <w:t>Students logging low study volumes (2 to 4 hours per week) consistently fall into lower grade distributions and experience higher rates of academic jeopardy.</w:t>
      </w:r>
    </w:p>
    <w:p w14:paraId="53F4486A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Walck-Shannon et al. (2021) &amp; Theobald (2025): </w:t>
      </w:r>
      <w:r>
        <w:rPr>
          <w:rFonts w:ascii="Calibri" w:hAnsi="Calibri"/>
        </w:rPr>
        <w:t>Accumulating study hours without cognitive focus (e.g., studying with an active distraction rate of 20%) yields diminishing returns, proving that raw time without concentration fails to improve GPA.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0"/>
      </w:tblGrid>
      <w:tr w:rsidR="00023222" w14:paraId="34AEE669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D8AE638" w14:textId="00409647" w:rsidR="00023222" w:rsidRDefault="007954C5">
            <w:pPr>
              <w:spacing w:after="0"/>
            </w:pPr>
            <w:r>
              <w:rPr>
                <w:rFonts w:ascii="Calibri" w:hAnsi="Calibri"/>
                <w:b/>
                <w:color w:val="C00000"/>
              </w:rPr>
              <w:t>Point</w:t>
            </w:r>
            <w:r w:rsidR="00000000">
              <w:rPr>
                <w:rFonts w:ascii="Calibri" w:hAnsi="Calibri"/>
                <w:b/>
                <w:color w:val="C00000"/>
              </w:rPr>
              <w:t>:</w:t>
            </w:r>
            <w:r w:rsidR="00000000">
              <w:rPr>
                <w:rFonts w:ascii="Calibri" w:hAnsi="Calibri"/>
                <w:b/>
                <w:color w:val="C00000"/>
              </w:rPr>
              <w:br/>
            </w:r>
            <w:r w:rsidR="00000000">
              <w:rPr>
                <w:rFonts w:ascii="Calibri" w:hAnsi="Calibri"/>
                <w:i/>
                <w:color w:val="262626"/>
              </w:rPr>
              <w:t>We justify self-directed study hours using Zubair et al. (2024), which statistically proved that students logging over 6 hours per week achieve significantly higher GPAs than those logging 2 to 4 hours. To make this measure institutionally accurate, PrePal evaluates study hours against the Sri Lanka Qualifications Framework (SLQF), where 1 credit equals 50 notional learning hours. Rather than using arbitrary hour cutoffs, our system evaluates whether a student's weekly study volume meets the required independent learning workload for their registered credit total.</w:t>
            </w:r>
          </w:p>
        </w:tc>
      </w:tr>
    </w:tbl>
    <w:p w14:paraId="34CA0B7C" w14:textId="77777777" w:rsidR="00023222" w:rsidRDefault="00023222">
      <w:pPr>
        <w:spacing w:after="120"/>
      </w:pPr>
    </w:p>
    <w:p w14:paraId="46275682" w14:textId="77777777" w:rsidR="00023222" w:rsidRDefault="00000000">
      <w:pPr>
        <w:pStyle w:val="Heading1"/>
        <w:spacing w:before="280" w:after="120"/>
      </w:pPr>
      <w:r>
        <w:rPr>
          <w:rFonts w:ascii="Calibri" w:hAnsi="Calibri"/>
          <w:color w:val="1F4E78"/>
          <w:sz w:val="32"/>
        </w:rPr>
        <w:t>3. SLEEP QUALITY &amp; HOURS (Physiological Memory Consolidation)</w:t>
      </w:r>
    </w:p>
    <w:p w14:paraId="6E2E977C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A. How It Is Individually Measured in PrePal</w:t>
      </w:r>
    </w:p>
    <w:p w14:paraId="0C765D39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App/UI Mechanism: </w:t>
      </w:r>
      <w:r>
        <w:rPr>
          <w:rFonts w:ascii="Calibri" w:hAnsi="Calibri"/>
        </w:rPr>
        <w:t>Measured via numerical input (sleepHours) in QuizActivity.java, capturing the student's average nightly sleep duration and consistency.</w:t>
      </w:r>
    </w:p>
    <w:p w14:paraId="33E2F9D9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B. Exact Calculation, Code Implementation &amp; Institutional Methods</w:t>
      </w:r>
    </w:p>
    <w:p w14:paraId="2597BEC5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Physiological Optimal Window: </w:t>
      </w:r>
      <w:r>
        <w:rPr>
          <w:rFonts w:ascii="Calibri" w:hAnsi="Calibri"/>
        </w:rPr>
        <w:t>The app evaluates sleep duration against a clinical baseline window of 6 to 8 hours per night.</w:t>
      </w:r>
    </w:p>
    <w:p w14:paraId="497E433D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Deprivation Flagging: </w:t>
      </w:r>
      <w:r>
        <w:rPr>
          <w:rFonts w:ascii="Calibri" w:hAnsi="Calibri"/>
        </w:rPr>
        <w:t>Sleep values below 5 hours per night—indicating acute sleep restriction or all-night exam cramming—are mathematically flagged as physiological strain vectors within the backend.</w:t>
      </w:r>
    </w:p>
    <w:p w14:paraId="0BE6536E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C. Empirical Positive Impact (GOOD) — Exact Numbers from Research</w:t>
      </w:r>
    </w:p>
    <w:p w14:paraId="1E1B5564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Maheshwari &amp; Shaukat (2019): </w:t>
      </w:r>
      <w:r>
        <w:rPr>
          <w:rFonts w:ascii="Calibri" w:hAnsi="Calibri"/>
        </w:rPr>
        <w:t>Clinical assessments using the Pittsburgh Sleep Quality Index (PSQI) prove that clinically verified good sleepers achieve a significantly higher GPA distribution (mean GPAs in the 3.4+ range) due to optimal neural memory consolidation and executive functioning.</w:t>
      </w:r>
    </w:p>
    <w:p w14:paraId="19A79A2C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Armand et al. (2021): </w:t>
      </w:r>
      <w:r>
        <w:rPr>
          <w:rFonts w:ascii="Calibri" w:hAnsi="Calibri"/>
        </w:rPr>
        <w:t>Consistent overnight sleep schedules maintain circadian timing, maximizing daytime classroom alertness and cognitive recall during graded assessments.</w:t>
      </w:r>
    </w:p>
    <w:p w14:paraId="4DD25057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lastRenderedPageBreak/>
        <w:t>D. Empirical Negative Impact (BAD) — Exact Numbers from Research</w:t>
      </w:r>
    </w:p>
    <w:p w14:paraId="186108F4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Maheshwari &amp; Shaukat (2019): </w:t>
      </w:r>
      <w:r>
        <w:rPr>
          <w:rFonts w:ascii="Calibri" w:hAnsi="Calibri"/>
        </w:rPr>
        <w:t>Clinically verified poor sleepers (PSQI score &gt; 5) suffer a statistically significant, severe drop in cumulative GPA (2.92 ± 1.09, p &lt; .0001) compared to good sleepers.</w:t>
      </w:r>
    </w:p>
    <w:p w14:paraId="5DA128F8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Hassan et al. (2025): </w:t>
      </w:r>
      <w:r>
        <w:rPr>
          <w:rFonts w:ascii="Calibri" w:hAnsi="Calibri"/>
        </w:rPr>
        <w:t>Acute sleep restriction and all-night cramming sessions before exams degrade working memory capacity, offsetting any academic benefit gained from late-night study hours.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0"/>
      </w:tblGrid>
      <w:tr w:rsidR="00023222" w14:paraId="3FC6F705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AAD9201" w14:textId="0762F344" w:rsidR="00023222" w:rsidRDefault="007954C5">
            <w:pPr>
              <w:spacing w:after="0"/>
            </w:pPr>
            <w:r>
              <w:rPr>
                <w:rFonts w:ascii="Calibri" w:hAnsi="Calibri"/>
                <w:b/>
                <w:color w:val="C00000"/>
              </w:rPr>
              <w:t>Point</w:t>
            </w:r>
            <w:r w:rsidR="00000000">
              <w:rPr>
                <w:rFonts w:ascii="Calibri" w:hAnsi="Calibri"/>
                <w:b/>
                <w:color w:val="C00000"/>
              </w:rPr>
              <w:t>:</w:t>
            </w:r>
            <w:r w:rsidR="00000000">
              <w:rPr>
                <w:rFonts w:ascii="Calibri" w:hAnsi="Calibri"/>
                <w:b/>
                <w:color w:val="C00000"/>
              </w:rPr>
              <w:br/>
            </w:r>
            <w:r w:rsidR="00000000">
              <w:rPr>
                <w:rFonts w:ascii="Calibri" w:hAnsi="Calibri"/>
                <w:i/>
                <w:color w:val="262626"/>
              </w:rPr>
              <w:t>Our inclusion of sleep metrics is directly supported by Maheshwari and Shaukat (2019), who clinically proved that university students with poor sleep quality suffer a statistically significant degradation in their cumulative GPA (2.92 ± 1.09, p &lt; .0001) due to impaired memory consolidation. In PrePal, sleep hours act as a physiological baseline that interacts with perceived stress, allowing our regression engine to predict when sleep deprivation will degrade working memory during exam cycles.</w:t>
            </w:r>
          </w:p>
        </w:tc>
      </w:tr>
    </w:tbl>
    <w:p w14:paraId="4EFF5FAB" w14:textId="77777777" w:rsidR="00023222" w:rsidRDefault="00023222">
      <w:pPr>
        <w:spacing w:after="120"/>
      </w:pPr>
    </w:p>
    <w:p w14:paraId="36060FB1" w14:textId="77777777" w:rsidR="00023222" w:rsidRDefault="00000000">
      <w:pPr>
        <w:pStyle w:val="Heading1"/>
        <w:spacing w:before="280" w:after="120"/>
      </w:pPr>
      <w:r>
        <w:rPr>
          <w:rFonts w:ascii="Calibri" w:hAnsi="Calibri"/>
          <w:color w:val="1F4E78"/>
          <w:sz w:val="32"/>
        </w:rPr>
        <w:t>4. PERCEIVED STRESS LEVEL VIA PSS-10 (Cognitive Appraisal)</w:t>
      </w:r>
    </w:p>
    <w:p w14:paraId="2194DAB6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A. How It Is Individually Measured in PrePal</w:t>
      </w:r>
    </w:p>
    <w:p w14:paraId="669730B0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App/UI Mechanism: </w:t>
      </w:r>
      <w:r>
        <w:rPr>
          <w:rFonts w:ascii="Calibri" w:hAnsi="Calibri"/>
        </w:rPr>
        <w:t>PrePal embeds the complete, globally validated 10-item Perceived Stress Scale (PSS-10) questionnaire directly inside the assessment activity (QuizActivity.java).</w:t>
      </w:r>
    </w:p>
    <w:p w14:paraId="5133AF19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Likert Scoring: </w:t>
      </w:r>
      <w:r>
        <w:rPr>
          <w:rFonts w:ascii="Calibri" w:hAnsi="Calibri"/>
        </w:rPr>
        <w:t>Each item is rated on a 5-point Likert scale from 0 to 4 (0 = Never, 1 = Almost Never, 2 = Sometimes, 3 = Fairly Often, 4 = Very Often).</w:t>
      </w:r>
    </w:p>
    <w:p w14:paraId="46D11FC8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B. Exact Calculation, Code Implementation &amp; Institutional Methods</w:t>
      </w:r>
    </w:p>
    <w:p w14:paraId="5FBD235B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Theoretical Foundation: </w:t>
      </w:r>
      <w:r>
        <w:rPr>
          <w:rFonts w:ascii="Calibri" w:hAnsi="Calibri"/>
        </w:rPr>
        <w:t>Grounded in Lazarus &amp; Folkman's Transactional Model of Stress and Coping (Cognitive Appraisal Theory) (Cohen et al., 1983). Unlike clinical symptom scales (DASS-21), PSS-10 measures how students appraise their academic workload relative to their coping resources.</w:t>
      </w:r>
    </w:p>
    <w:p w14:paraId="760242E1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Two-Factor Structure &amp; Reverse Scoring in Java: </w:t>
      </w:r>
      <w:r>
        <w:rPr>
          <w:rFonts w:ascii="Calibri" w:hAnsi="Calibri"/>
        </w:rPr>
        <w:t>Perceived Helplessness (6 Negative Items: Q1, Q2, Q3, Q6, Q9, Q10) is directly scored. Perceived Self-Efficacy (4 Positive Items: Q4, Q5, Q7, Q8) is reverse-scored in code (Score = 4 - SelectedValue).</w:t>
      </w:r>
    </w:p>
    <w:p w14:paraId="4FCCB65C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Total PSS-10 Score (0 to 40): </w:t>
      </w:r>
      <w:r>
        <w:rPr>
          <w:rFonts w:ascii="Calibri" w:hAnsi="Calibri"/>
        </w:rPr>
        <w:t>All 10 items are summed to produce pssTotalScore ranging from 0 to 40.</w:t>
      </w:r>
    </w:p>
    <w:p w14:paraId="7B7CD4BD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Mapping to ML Model: </w:t>
      </w:r>
      <w:r>
        <w:rPr>
          <w:rFonts w:ascii="Calibri" w:hAnsi="Calibri"/>
        </w:rPr>
        <w:t>In QuizActivity.java (lines 433-438), the 0-40 score is mapped to the backend model's expected 1-to-5 stress index: 0-8 -&gt; 1.0 (Very Low), 9-16 -&gt; 2.0 (Low), 17-24 -&gt; 3.0 (Moderate), 25-32 -&gt; 4.0 (High), 33-40 -&gt; 5.0 (Severe).</w:t>
      </w:r>
    </w:p>
    <w:p w14:paraId="7EFA5762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lastRenderedPageBreak/>
        <w:t>C. Empirical Positive Impact (GOOD) — Exact Numbers from Research</w:t>
      </w:r>
    </w:p>
    <w:p w14:paraId="64F74D33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Popa-Velea et al. (2021): </w:t>
      </w:r>
      <w:r>
        <w:rPr>
          <w:rFonts w:ascii="Calibri" w:hAnsi="Calibri"/>
        </w:rPr>
        <w:t>Students exhibiting high Perceived Self-Efficacy and low chronic stress demonstrate strong academic resilience and achieve significantly higher objective academic performance (p &lt; .01).</w:t>
      </w:r>
    </w:p>
    <w:p w14:paraId="7E598E71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Cohen &amp; Williamson (1988): </w:t>
      </w:r>
      <w:r>
        <w:rPr>
          <w:rFonts w:ascii="Calibri" w:hAnsi="Calibri"/>
        </w:rPr>
        <w:t>PSS-10 demonstrates excellent internal consistency (alpha = .78-.85) and test-retest reliability, providing a stable, mathematically robust 0-40 index for linear regression modeling.</w:t>
      </w:r>
    </w:p>
    <w:p w14:paraId="4CBA7AFD" w14:textId="77777777" w:rsidR="00023222" w:rsidRDefault="00000000">
      <w:pPr>
        <w:pStyle w:val="Heading2"/>
        <w:spacing w:after="80"/>
      </w:pPr>
      <w:r>
        <w:rPr>
          <w:rFonts w:ascii="Calibri" w:hAnsi="Calibri"/>
          <w:color w:val="2E75B6"/>
        </w:rPr>
        <w:t>D. Empirical Negative Impact (BAD) — Exact Numbers from Research</w:t>
      </w:r>
    </w:p>
    <w:p w14:paraId="290D1228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Popa-Velea et al. (2021): </w:t>
      </w:r>
      <w:r>
        <w:rPr>
          <w:rFonts w:ascii="Calibri" w:hAnsi="Calibri"/>
        </w:rPr>
        <w:t>Elevated perceived stress has a direct, statistically significant negative impact on university GPA (p &lt; .01).</w:t>
      </w:r>
    </w:p>
    <w:p w14:paraId="757E3EA0" w14:textId="77777777" w:rsidR="00023222" w:rsidRDefault="00000000">
      <w:pPr>
        <w:pStyle w:val="ListBullet"/>
        <w:spacing w:after="80"/>
      </w:pPr>
      <w:r>
        <w:rPr>
          <w:rFonts w:ascii="Calibri" w:hAnsi="Calibri"/>
          <w:b/>
        </w:rPr>
        <w:t xml:space="preserve">Cognitive Capacity Drain: </w:t>
      </w:r>
      <w:r>
        <w:rPr>
          <w:rFonts w:ascii="Calibri" w:hAnsi="Calibri"/>
        </w:rPr>
        <w:t>Severe psychological strain creates continuous Working Memory Interference, draining a student's working memory capacity and driving persistent procrastination, study concentration failure, and lecture absenteeism.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40"/>
      </w:tblGrid>
      <w:tr w:rsidR="00023222" w14:paraId="2B5D9EB2" w14:textId="77777777">
        <w:trPr>
          <w:jc w:val="center"/>
        </w:trPr>
        <w:tc>
          <w:tcPr>
            <w:tcW w:w="9360" w:type="dxa"/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3585E0" w14:textId="6299B024" w:rsidR="00023222" w:rsidRDefault="007954C5">
            <w:pPr>
              <w:spacing w:after="0"/>
            </w:pPr>
            <w:r>
              <w:rPr>
                <w:rFonts w:ascii="Calibri" w:hAnsi="Calibri"/>
                <w:b/>
                <w:color w:val="C00000"/>
              </w:rPr>
              <w:t>Point</w:t>
            </w:r>
            <w:r w:rsidR="00000000">
              <w:rPr>
                <w:rFonts w:ascii="Calibri" w:hAnsi="Calibri"/>
                <w:b/>
                <w:color w:val="C00000"/>
              </w:rPr>
              <w:t>:</w:t>
            </w:r>
            <w:r w:rsidR="00000000">
              <w:rPr>
                <w:rFonts w:ascii="Calibri" w:hAnsi="Calibri"/>
                <w:b/>
                <w:color w:val="C00000"/>
              </w:rPr>
              <w:br/>
            </w:r>
            <w:r w:rsidR="00000000">
              <w:rPr>
                <w:rFonts w:ascii="Calibri" w:hAnsi="Calibri"/>
                <w:i/>
                <w:color w:val="262626"/>
              </w:rPr>
              <w:t>To avoid arbitrary self-reporting, PrePal embeds the globally validated PSS-10 scale by Cohen et al. (1983), which is grounded in Lazarus and Folkman's Cognitive Appraisal Theory. We apply strict psychometric scoring in our Java code—including reverse-scoring for the 4 Perceived Self-Efficacy items (Q4, Q5, Q7, Q8)—to generate a 0-40 score, which is mapped to a 1-to-5 ordinal index. As statistically proven by Popa-Velea et al. (2021), elevated perceived stress (p &lt; .01) causes Cognitive Capacity Drain and working memory interference, allowing our regression model to accurately predict resulting GPA degradation.</w:t>
            </w:r>
          </w:p>
        </w:tc>
      </w:tr>
    </w:tbl>
    <w:p w14:paraId="419DCE9B" w14:textId="77777777" w:rsidR="00023222" w:rsidRDefault="00023222">
      <w:pPr>
        <w:spacing w:after="120"/>
      </w:pPr>
    </w:p>
    <w:p w14:paraId="5E0BF622" w14:textId="77777777" w:rsidR="00023222" w:rsidRDefault="00000000">
      <w:pPr>
        <w:pStyle w:val="Heading1"/>
        <w:spacing w:before="280" w:after="120"/>
      </w:pPr>
      <w:r>
        <w:rPr>
          <w:rFonts w:ascii="Calibri" w:hAnsi="Calibri"/>
          <w:color w:val="1F4E78"/>
          <w:sz w:val="32"/>
        </w:rPr>
        <w:t>5. MASTER PREDICTIVE FEATURE REFERENCE TABLE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023222" w14:paraId="50F83038" w14:textId="77777777">
        <w:trPr>
          <w:jc w:val="center"/>
        </w:trPr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E70CA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Feature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9A137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How Measured in PrePal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A9EC9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Mathematical / Institutional Method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8A5CC3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Empirical GOOD Impact (Exact Stats)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57337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Empirical BAD Impact (Exact Stats)</w:t>
            </w:r>
          </w:p>
        </w:tc>
        <w:tc>
          <w:tcPr>
            <w:tcW w:w="1440" w:type="dxa"/>
            <w:shd w:val="clear" w:color="auto" w:fill="1F4E7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F1DEAB" w14:textId="77777777" w:rsidR="00023222" w:rsidRDefault="00000000"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Primary Citations</w:t>
            </w:r>
          </w:p>
        </w:tc>
      </w:tr>
      <w:tr w:rsidR="00023222" w14:paraId="11714AE7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B5F9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1. Class Attendance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8054C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Module-by-Module Dropdown %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00767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Avg = sum(Module Pct) / N</w:t>
            </w:r>
            <w:r>
              <w:rPr>
                <w:rFonts w:ascii="Calibri" w:hAnsi="Calibri"/>
                <w:color w:val="262626"/>
                <w:sz w:val="19"/>
              </w:rPr>
              <w:br/>
              <w:t>(Saegis By-Law 80% Rule)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8EF9B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Strongest behavioral predictor of GPA (rho = .41, N = 9,243) and course grades (rho = .44, N = 21,195).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6CEA72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Absenteeism &lt; 80% causes institutional exam disqualification (0.00 grade points / E grade).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AE8CA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Credé et al. (2010)</w:t>
            </w:r>
            <w:r>
              <w:rPr>
                <w:rFonts w:ascii="Calibri" w:hAnsi="Calibri"/>
                <w:color w:val="262626"/>
                <w:sz w:val="19"/>
              </w:rPr>
              <w:br/>
              <w:t>Saegis By-Laws Sec. 6</w:t>
            </w:r>
          </w:p>
        </w:tc>
      </w:tr>
      <w:tr w:rsidR="00023222" w14:paraId="2F72E726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33844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2. Study Hours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A252F6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Numerical Input (Weekly Hours)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5B12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Benchmarked against SLQF</w:t>
            </w:r>
            <w:r>
              <w:rPr>
                <w:rFonts w:ascii="Calibri" w:hAnsi="Calibri"/>
                <w:color w:val="262626"/>
                <w:sz w:val="19"/>
              </w:rPr>
              <w:br/>
              <w:t>(1 Credit = 50 Notional Learning Hours)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381C1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 xml:space="preserve">Studying &gt; 6 hours/week consistently elevates final GPA tiers when </w:t>
            </w:r>
            <w:r>
              <w:rPr>
                <w:rFonts w:ascii="Calibri" w:hAnsi="Calibri"/>
                <w:color w:val="262626"/>
                <w:sz w:val="19"/>
              </w:rPr>
              <w:lastRenderedPageBreak/>
              <w:t>paired with SRL focus.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E59625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lastRenderedPageBreak/>
              <w:t xml:space="preserve">Studying &lt; 4 hours/week fails passing thresholds; unfocused </w:t>
            </w:r>
            <w:r>
              <w:rPr>
                <w:rFonts w:ascii="Calibri" w:hAnsi="Calibri"/>
                <w:color w:val="262626"/>
                <w:sz w:val="19"/>
              </w:rPr>
              <w:lastRenderedPageBreak/>
              <w:t>study (20% distraction) yields diminishing returns.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BDB26D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lastRenderedPageBreak/>
              <w:t>Zubair et al. (2024)</w:t>
            </w:r>
            <w:r>
              <w:rPr>
                <w:rFonts w:ascii="Calibri" w:hAnsi="Calibri"/>
                <w:color w:val="262626"/>
                <w:sz w:val="19"/>
              </w:rPr>
              <w:br/>
              <w:t>Theobald (2025)</w:t>
            </w:r>
          </w:p>
        </w:tc>
      </w:tr>
      <w:tr w:rsidR="00023222" w14:paraId="7FAA3085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1A77B1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3. Sleep Quality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EA7CE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Numerical Input (Daily Hours)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84FE5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Physiological window check (6-8 hrs) vs. acute deprivation (&lt; 5 hrs)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DD7AA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Good sleepers exhibit optimal memory consolidation and higher GPA distributions (3.4+ range).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75593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Poor sleepers (PSQI &gt; 5) suffer a severe statistical drop in GPA (2.92 ± 1.09, p &lt; .0001).</w:t>
            </w:r>
          </w:p>
        </w:tc>
        <w:tc>
          <w:tcPr>
            <w:tcW w:w="144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BAA073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Maheshwari &amp; Shaukat (2019)</w:t>
            </w:r>
            <w:r>
              <w:rPr>
                <w:rFonts w:ascii="Calibri" w:hAnsi="Calibri"/>
                <w:color w:val="262626"/>
                <w:sz w:val="19"/>
              </w:rPr>
              <w:br/>
              <w:t>Armand et al. (2021)</w:t>
            </w:r>
          </w:p>
        </w:tc>
      </w:tr>
      <w:tr w:rsidR="00023222" w14:paraId="1714EC69" w14:textId="77777777">
        <w:trPr>
          <w:jc w:val="center"/>
        </w:trPr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448DD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4. Perceived Stress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3C2B84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10-Item Embedded PSS-10 Quiz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5E29A5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Reverse-score Q4, Q5, Q7, Q8 -&gt; Sum (0-40) -&gt; Map to 1-5 Ordinal Index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704561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High Self-Efficacy promotes academic resilience and higher objective grades (p &lt; .01).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27B0B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High Helplessness causes Cognitive Capacity Drain and Working Memory Interference, lowering GPA (p &lt; .01).</w:t>
            </w:r>
          </w:p>
        </w:tc>
        <w:tc>
          <w:tcPr>
            <w:tcW w:w="144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D748EA" w14:textId="77777777" w:rsidR="00023222" w:rsidRDefault="00000000">
            <w:r>
              <w:rPr>
                <w:rFonts w:ascii="Calibri" w:hAnsi="Calibri"/>
                <w:color w:val="262626"/>
                <w:sz w:val="19"/>
              </w:rPr>
              <w:t>Cohen et al. (1983)</w:t>
            </w:r>
            <w:r>
              <w:rPr>
                <w:rFonts w:ascii="Calibri" w:hAnsi="Calibri"/>
                <w:color w:val="262626"/>
                <w:sz w:val="19"/>
              </w:rPr>
              <w:br/>
              <w:t>Popa-Velea et al. (2021)</w:t>
            </w:r>
          </w:p>
        </w:tc>
      </w:tr>
    </w:tbl>
    <w:p w14:paraId="18BE42DA" w14:textId="77777777" w:rsidR="00453208" w:rsidRDefault="00453208"/>
    <w:sectPr w:rsidR="0045320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877954">
    <w:abstractNumId w:val="8"/>
  </w:num>
  <w:num w:numId="2" w16cid:durableId="1403405608">
    <w:abstractNumId w:val="6"/>
  </w:num>
  <w:num w:numId="3" w16cid:durableId="134178957">
    <w:abstractNumId w:val="5"/>
  </w:num>
  <w:num w:numId="4" w16cid:durableId="247812584">
    <w:abstractNumId w:val="4"/>
  </w:num>
  <w:num w:numId="5" w16cid:durableId="756557649">
    <w:abstractNumId w:val="7"/>
  </w:num>
  <w:num w:numId="6" w16cid:durableId="1846750946">
    <w:abstractNumId w:val="3"/>
  </w:num>
  <w:num w:numId="7" w16cid:durableId="414328565">
    <w:abstractNumId w:val="2"/>
  </w:num>
  <w:num w:numId="8" w16cid:durableId="764692994">
    <w:abstractNumId w:val="1"/>
  </w:num>
  <w:num w:numId="9" w16cid:durableId="15782499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3222"/>
    <w:rsid w:val="00034616"/>
    <w:rsid w:val="0006063C"/>
    <w:rsid w:val="0015074B"/>
    <w:rsid w:val="0029639D"/>
    <w:rsid w:val="00326F90"/>
    <w:rsid w:val="00453208"/>
    <w:rsid w:val="007954C5"/>
    <w:rsid w:val="00AA1D8D"/>
    <w:rsid w:val="00B47730"/>
    <w:rsid w:val="00C0604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7B0E6"/>
  <w14:defaultImageDpi w14:val="300"/>
  <w15:docId w15:val="{BF05727A-6D21-4CFD-B5A6-0F8F0DCE1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1823</Words>
  <Characters>10397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Amanda Hansini</cp:lastModifiedBy>
  <cp:revision>2</cp:revision>
  <dcterms:created xsi:type="dcterms:W3CDTF">2013-12-23T23:15:00Z</dcterms:created>
  <dcterms:modified xsi:type="dcterms:W3CDTF">2026-08-03T17:25:00Z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da8ae41b-95c5-4488-8c7c-82f9a82e96bb</vt:lpwstr>
  </property>
</Properties>
</file>