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Validação e Auditoria Fiscal</w:t>
      </w:r>
      <w:r w:rsidDel="00000000" w:rsidR="00000000" w:rsidRPr="00000000">
        <w:rPr>
          <w:rtl w:val="0"/>
        </w:rPr>
        <w:t xml:space="preserve"> – verificação de erros e inconsistências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Agente de auditoria: CBO incompatível com função: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Regra: função ↔ CBO constam em lista de referência.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Dados: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funcao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cbo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Risco: autuações e indicadores errados.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Agente de auditoria: Lotação tributária (S-1005) inconsistente: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Regra: FPAS/FAP/RAT coerentes com estabelecimento.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Dados: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lotacao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fpas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Risco: INSS calculado errado.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Agente de auditoria: Rubricas (S-1010) sem incidências definidas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Regra: toda rubrica tem incidência INSS/IRRF/FGTS conforme Tabela 3 do eSocial.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Dados: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rubrica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inc_inss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inc_irrf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inc_fgts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Risco: guias e declarações divergentes.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Agente de auditoria: Base INSS fora do teto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Regra: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base_inss ≤ teto_inss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Dados: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base_inss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Risco: recolhimento a maior/menor, passivo.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Agente de auditoria: FGTS sub ou super recolhido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Regra: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fgts_calc ≈ 8% da base FGTS</w:t>
      </w:r>
      <w:r w:rsidDel="00000000" w:rsidR="00000000" w:rsidRPr="00000000">
        <w:rPr>
          <w:rtl w:val="0"/>
        </w:rPr>
        <w:t xml:space="preserve">, com tolerância.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Dados: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base_fgts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fgts_pago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Risco: passivo trabalhista e multa.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Agente de auditoria:  Validação das quotas dos aprendizes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Calcula a faixa de cota </w:t>
      </w:r>
      <w:r w:rsidDel="00000000" w:rsidR="00000000" w:rsidRPr="00000000">
        <w:rPr>
          <w:b w:val="1"/>
          <w:rtl w:val="0"/>
        </w:rPr>
        <w:t xml:space="preserve">mínima (5%) e máxima (15%)</w:t>
      </w:r>
      <w:r w:rsidDel="00000000" w:rsidR="00000000" w:rsidRPr="00000000">
        <w:rPr>
          <w:rtl w:val="0"/>
        </w:rPr>
        <w:t xml:space="preserve"> e compara com os </w:t>
      </w:r>
      <w:r w:rsidDel="00000000" w:rsidR="00000000" w:rsidRPr="00000000">
        <w:rPr>
          <w:b w:val="1"/>
          <w:rtl w:val="0"/>
        </w:rPr>
        <w:t xml:space="preserve">aprendizes atuais</w:t>
      </w:r>
      <w:r w:rsidDel="00000000" w:rsidR="00000000" w:rsidRPr="00000000">
        <w:rPr>
          <w:rtl w:val="0"/>
        </w:rPr>
        <w:t xml:space="preserve">, com base na relação de cargos da organização.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