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7FAB" w14:textId="4406E27C" w:rsidR="00222B43" w:rsidRPr="00E73D80" w:rsidRDefault="003605B6" w:rsidP="00E73D80">
      <w:pPr>
        <w:spacing w:line="480" w:lineRule="auto"/>
        <w:rPr>
          <w:rFonts w:ascii="Times New Roman" w:hAnsi="Times New Roman" w:cs="Times New Roman"/>
        </w:rPr>
      </w:pPr>
      <w:r w:rsidRPr="00E73D80">
        <w:rPr>
          <w:rFonts w:ascii="Times New Roman" w:hAnsi="Times New Roman" w:cs="Times New Roman"/>
        </w:rPr>
        <w:t>Amanda Nelson</w:t>
      </w:r>
    </w:p>
    <w:p w14:paraId="3AED4C9F" w14:textId="7E7E7E44" w:rsidR="003605B6" w:rsidRPr="00E73D80" w:rsidRDefault="003605B6" w:rsidP="00E73D80">
      <w:pPr>
        <w:spacing w:line="480" w:lineRule="auto"/>
        <w:rPr>
          <w:rFonts w:ascii="Times New Roman" w:hAnsi="Times New Roman" w:cs="Times New Roman"/>
        </w:rPr>
      </w:pPr>
      <w:r w:rsidRPr="00E73D80">
        <w:rPr>
          <w:rFonts w:ascii="Times New Roman" w:hAnsi="Times New Roman" w:cs="Times New Roman"/>
        </w:rPr>
        <w:t>10/22/26</w:t>
      </w:r>
    </w:p>
    <w:p w14:paraId="1A46B1B4" w14:textId="2EFB0636" w:rsidR="003605B6" w:rsidRPr="00E73D80" w:rsidRDefault="003605B6" w:rsidP="00E73D80">
      <w:pPr>
        <w:spacing w:line="480" w:lineRule="auto"/>
        <w:rPr>
          <w:rFonts w:ascii="Times New Roman" w:hAnsi="Times New Roman" w:cs="Times New Roman"/>
        </w:rPr>
      </w:pPr>
      <w:r w:rsidRPr="00E73D80">
        <w:rPr>
          <w:rFonts w:ascii="Times New Roman" w:hAnsi="Times New Roman" w:cs="Times New Roman"/>
        </w:rPr>
        <w:t>CS-405</w:t>
      </w:r>
    </w:p>
    <w:p w14:paraId="3D30E6BF" w14:textId="273FBD15" w:rsidR="003605B6" w:rsidRPr="00E73D80" w:rsidRDefault="003605B6" w:rsidP="00E73D80">
      <w:pPr>
        <w:spacing w:line="480" w:lineRule="auto"/>
        <w:jc w:val="center"/>
        <w:rPr>
          <w:rFonts w:ascii="Times New Roman" w:hAnsi="Times New Roman" w:cs="Times New Roman"/>
        </w:rPr>
      </w:pPr>
      <w:r w:rsidRPr="00E73D80">
        <w:rPr>
          <w:rFonts w:ascii="Times New Roman" w:hAnsi="Times New Roman" w:cs="Times New Roman"/>
        </w:rPr>
        <w:t>Module 8 Journal</w:t>
      </w:r>
    </w:p>
    <w:p w14:paraId="373C6818" w14:textId="77777777" w:rsidR="00E73D80" w:rsidRPr="00E73D80" w:rsidRDefault="00E73D80" w:rsidP="00E73D80">
      <w:pPr>
        <w:spacing w:line="480" w:lineRule="auto"/>
        <w:rPr>
          <w:rFonts w:ascii="Times New Roman" w:hAnsi="Times New Roman" w:cs="Times New Roman"/>
          <w:b/>
          <w:bCs/>
        </w:rPr>
      </w:pPr>
      <w:r w:rsidRPr="00E73D80">
        <w:rPr>
          <w:rFonts w:ascii="Times New Roman" w:hAnsi="Times New Roman" w:cs="Times New Roman"/>
          <w:b/>
          <w:bCs/>
        </w:rPr>
        <w:t>Adoption of a Secure Coding Standard and Shift-Left Security</w:t>
      </w:r>
    </w:p>
    <w:p w14:paraId="2372316B" w14:textId="1AAECCB6" w:rsidR="00E73D80" w:rsidRPr="00E73D80" w:rsidRDefault="00E73D80" w:rsidP="00E73D80">
      <w:pPr>
        <w:spacing w:line="480" w:lineRule="auto"/>
        <w:rPr>
          <w:rFonts w:ascii="Times New Roman" w:hAnsi="Times New Roman" w:cs="Times New Roman"/>
        </w:rPr>
      </w:pPr>
      <w:r w:rsidRPr="00E73D80">
        <w:rPr>
          <w:rFonts w:ascii="Times New Roman" w:hAnsi="Times New Roman" w:cs="Times New Roman"/>
        </w:rPr>
        <w:t>Traditionally, security testing occurred at the tail end of development, often resulting in costly delays, difficult remediation, and persistent vulnerabilities. Adopting a secure coding standard enforces proactive security measures from the initial design phase—a practice commonly referred to as "shifting left"</w:t>
      </w:r>
      <w:r w:rsidR="00A1413D">
        <w:rPr>
          <w:rFonts w:ascii="Times New Roman" w:hAnsi="Times New Roman" w:cs="Times New Roman"/>
        </w:rPr>
        <w:t xml:space="preserve"> </w:t>
      </w:r>
      <w:r w:rsidR="00A1413D" w:rsidRPr="00A1413D">
        <w:rPr>
          <w:rFonts w:ascii="Times New Roman" w:hAnsi="Times New Roman" w:cs="Times New Roman"/>
        </w:rPr>
        <w:t>(Souppaya et al., 2022).</w:t>
      </w:r>
    </w:p>
    <w:p w14:paraId="6EDEA165" w14:textId="41E41E8E" w:rsidR="00E73D80" w:rsidRPr="00E73D80" w:rsidRDefault="00E73D80" w:rsidP="00E73D80">
      <w:pPr>
        <w:numPr>
          <w:ilvl w:val="0"/>
          <w:numId w:val="3"/>
        </w:numPr>
        <w:spacing w:line="480" w:lineRule="auto"/>
        <w:rPr>
          <w:rFonts w:ascii="Times New Roman" w:hAnsi="Times New Roman" w:cs="Times New Roman"/>
        </w:rPr>
      </w:pPr>
      <w:r w:rsidRPr="00E73D80">
        <w:rPr>
          <w:rFonts w:ascii="Times New Roman" w:hAnsi="Times New Roman" w:cs="Times New Roman"/>
        </w:rPr>
        <w:t>Proactive Mitigation: Establishing a standard (such as CERT, OWASP, or CWE guidelines) provides developers with explicit rules to prevent common vulnerabilities like injection flaws, buffer overflows, and broken authentication before code is even written</w:t>
      </w:r>
      <w:r w:rsidR="00A1413D">
        <w:rPr>
          <w:rFonts w:ascii="Times New Roman" w:hAnsi="Times New Roman" w:cs="Times New Roman"/>
        </w:rPr>
        <w:t xml:space="preserve"> </w:t>
      </w:r>
      <w:r w:rsidR="00A1413D" w:rsidRPr="00A1413D">
        <w:rPr>
          <w:rFonts w:ascii="Times New Roman" w:hAnsi="Times New Roman" w:cs="Times New Roman"/>
        </w:rPr>
        <w:t>(Souppaya et al., 2022)</w:t>
      </w:r>
      <w:r w:rsidRPr="00E73D80">
        <w:rPr>
          <w:rFonts w:ascii="Times New Roman" w:hAnsi="Times New Roman" w:cs="Times New Roman"/>
        </w:rPr>
        <w:t>.</w:t>
      </w:r>
    </w:p>
    <w:p w14:paraId="6DE2A37D" w14:textId="77777777" w:rsidR="00E73D80" w:rsidRPr="00E73D80" w:rsidRDefault="00E73D80" w:rsidP="00E73D80">
      <w:pPr>
        <w:numPr>
          <w:ilvl w:val="0"/>
          <w:numId w:val="3"/>
        </w:numPr>
        <w:spacing w:line="480" w:lineRule="auto"/>
        <w:rPr>
          <w:rFonts w:ascii="Times New Roman" w:hAnsi="Times New Roman" w:cs="Times New Roman"/>
        </w:rPr>
      </w:pPr>
      <w:r w:rsidRPr="00E73D80">
        <w:rPr>
          <w:rFonts w:ascii="Times New Roman" w:hAnsi="Times New Roman" w:cs="Times New Roman"/>
        </w:rPr>
        <w:t>Consistency Across Teams: Secure coding standards establish a unified baseline, ensuring that all team members adhere to identical security protocols regardless of individual experience levels.</w:t>
      </w:r>
    </w:p>
    <w:p w14:paraId="2AA6DFBB" w14:textId="77777777" w:rsidR="00E73D80" w:rsidRPr="00E73D80" w:rsidRDefault="00E73D80" w:rsidP="00E73D80">
      <w:pPr>
        <w:numPr>
          <w:ilvl w:val="0"/>
          <w:numId w:val="3"/>
        </w:numPr>
        <w:spacing w:line="480" w:lineRule="auto"/>
        <w:rPr>
          <w:rFonts w:ascii="Times New Roman" w:hAnsi="Times New Roman" w:cs="Times New Roman"/>
        </w:rPr>
      </w:pPr>
      <w:r w:rsidRPr="00E73D80">
        <w:rPr>
          <w:rFonts w:ascii="Times New Roman" w:hAnsi="Times New Roman" w:cs="Times New Roman"/>
        </w:rPr>
        <w:t>Long-Term Benefits: Addressing security early drastically reduces the financial and temporal cost of fixing defects, as remediation expenses escalate exponentially post-deployment.</w:t>
      </w:r>
    </w:p>
    <w:p w14:paraId="5EE1E35F" w14:textId="77777777" w:rsidR="00E73D80" w:rsidRPr="00E73D80" w:rsidRDefault="00E73D80" w:rsidP="00E73D80">
      <w:pPr>
        <w:spacing w:line="480" w:lineRule="auto"/>
        <w:rPr>
          <w:rFonts w:ascii="Times New Roman" w:hAnsi="Times New Roman" w:cs="Times New Roman"/>
          <w:b/>
          <w:bCs/>
        </w:rPr>
      </w:pPr>
      <w:r w:rsidRPr="00E73D80">
        <w:rPr>
          <w:rFonts w:ascii="Times New Roman" w:hAnsi="Times New Roman" w:cs="Times New Roman"/>
          <w:b/>
          <w:bCs/>
        </w:rPr>
        <w:t>Evaluation and Assessment of Risk and Cost-Benefit of Mitigation</w:t>
      </w:r>
    </w:p>
    <w:p w14:paraId="1ADC9692" w14:textId="77777777" w:rsidR="00E73D80" w:rsidRPr="00E73D80" w:rsidRDefault="00E73D80" w:rsidP="00E73D80">
      <w:pPr>
        <w:spacing w:line="480" w:lineRule="auto"/>
        <w:rPr>
          <w:rFonts w:ascii="Times New Roman" w:hAnsi="Times New Roman" w:cs="Times New Roman"/>
        </w:rPr>
      </w:pPr>
      <w:r w:rsidRPr="00E73D80">
        <w:rPr>
          <w:rFonts w:ascii="Times New Roman" w:hAnsi="Times New Roman" w:cs="Times New Roman"/>
        </w:rPr>
        <w:lastRenderedPageBreak/>
        <w:t>Every software project operates under resource constraints, requiring engineering teams to evaluate security risks systematically. Risk assessment involves identifying potential threat vectors, calculating the likelihood of exploitation, and measuring the potential impact on confidentiality, integrity, and availability.</w:t>
      </w:r>
    </w:p>
    <w:p w14:paraId="1B891776" w14:textId="52ECBDFF" w:rsidR="00E73D80" w:rsidRPr="00E73D80" w:rsidRDefault="00E73D80" w:rsidP="00E73D80">
      <w:pPr>
        <w:numPr>
          <w:ilvl w:val="0"/>
          <w:numId w:val="4"/>
        </w:numPr>
        <w:spacing w:line="480" w:lineRule="auto"/>
        <w:rPr>
          <w:rFonts w:ascii="Times New Roman" w:hAnsi="Times New Roman" w:cs="Times New Roman"/>
        </w:rPr>
      </w:pPr>
      <w:r w:rsidRPr="00E73D80">
        <w:rPr>
          <w:rFonts w:ascii="Times New Roman" w:hAnsi="Times New Roman" w:cs="Times New Roman"/>
        </w:rPr>
        <w:t>Cost-Benefit Analysis: Implementing every conceivable security control is impractical. Organizations must weigh the cost of mitigation</w:t>
      </w:r>
      <w:r w:rsidR="00C65C83">
        <w:rPr>
          <w:rFonts w:ascii="Times New Roman" w:hAnsi="Times New Roman" w:cs="Times New Roman"/>
        </w:rPr>
        <w:t xml:space="preserve"> </w:t>
      </w:r>
      <w:proofErr w:type="gramStart"/>
      <w:r w:rsidRPr="00E73D80">
        <w:rPr>
          <w:rFonts w:ascii="Times New Roman" w:hAnsi="Times New Roman" w:cs="Times New Roman"/>
        </w:rPr>
        <w:t>including</w:t>
      </w:r>
      <w:r w:rsidR="00C65C83">
        <w:rPr>
          <w:rFonts w:ascii="Times New Roman" w:hAnsi="Times New Roman" w:cs="Times New Roman"/>
        </w:rPr>
        <w:t>:</w:t>
      </w:r>
      <w:proofErr w:type="gramEnd"/>
      <w:r w:rsidRPr="00E73D80">
        <w:rPr>
          <w:rFonts w:ascii="Times New Roman" w:hAnsi="Times New Roman" w:cs="Times New Roman"/>
        </w:rPr>
        <w:t xml:space="preserve"> development time, performance overhead, and licensing fees</w:t>
      </w:r>
      <w:r w:rsidR="00C65C83">
        <w:rPr>
          <w:rFonts w:ascii="Times New Roman" w:hAnsi="Times New Roman" w:cs="Times New Roman"/>
        </w:rPr>
        <w:t xml:space="preserve"> </w:t>
      </w:r>
      <w:r w:rsidRPr="00E73D80">
        <w:rPr>
          <w:rFonts w:ascii="Times New Roman" w:hAnsi="Times New Roman" w:cs="Times New Roman"/>
        </w:rPr>
        <w:t>against the financial, legal, and reputational cost of a potential breach.</w:t>
      </w:r>
    </w:p>
    <w:p w14:paraId="7555DB16" w14:textId="77777777" w:rsidR="00E73D80" w:rsidRPr="00E73D80" w:rsidRDefault="00E73D80" w:rsidP="00E73D80">
      <w:pPr>
        <w:numPr>
          <w:ilvl w:val="0"/>
          <w:numId w:val="4"/>
        </w:numPr>
        <w:spacing w:line="480" w:lineRule="auto"/>
        <w:rPr>
          <w:rFonts w:ascii="Times New Roman" w:hAnsi="Times New Roman" w:cs="Times New Roman"/>
        </w:rPr>
      </w:pPr>
      <w:r w:rsidRPr="00E73D80">
        <w:rPr>
          <w:rFonts w:ascii="Times New Roman" w:hAnsi="Times New Roman" w:cs="Times New Roman"/>
        </w:rPr>
        <w:t>Prioritized Remediation: Utilizing frameworks like CVSS (Common Vulnerability Scoring System) allows teams to triage vulnerabilities effectively, allocating resources to high-impact mitigations first.</w:t>
      </w:r>
    </w:p>
    <w:p w14:paraId="79C2D74C" w14:textId="77777777" w:rsidR="00E73D80" w:rsidRPr="00E73D80" w:rsidRDefault="00E73D80" w:rsidP="00E73D80">
      <w:pPr>
        <w:spacing w:line="480" w:lineRule="auto"/>
        <w:rPr>
          <w:rFonts w:ascii="Times New Roman" w:hAnsi="Times New Roman" w:cs="Times New Roman"/>
          <w:b/>
          <w:bCs/>
        </w:rPr>
      </w:pPr>
      <w:r w:rsidRPr="00E73D80">
        <w:rPr>
          <w:rFonts w:ascii="Times New Roman" w:hAnsi="Times New Roman" w:cs="Times New Roman"/>
          <w:b/>
          <w:bCs/>
        </w:rPr>
        <w:t>Zero Trust Architecture</w:t>
      </w:r>
    </w:p>
    <w:p w14:paraId="42CA65A3" w14:textId="42A55B27" w:rsidR="00E73D80" w:rsidRPr="00E73D80" w:rsidRDefault="00E73D80" w:rsidP="00E73D80">
      <w:pPr>
        <w:spacing w:line="480" w:lineRule="auto"/>
        <w:rPr>
          <w:rFonts w:ascii="Times New Roman" w:hAnsi="Times New Roman" w:cs="Times New Roman"/>
        </w:rPr>
      </w:pPr>
      <w:r w:rsidRPr="00E73D80">
        <w:rPr>
          <w:rFonts w:ascii="Times New Roman" w:hAnsi="Times New Roman" w:cs="Times New Roman"/>
        </w:rPr>
        <w:t>The traditional perimeter-based security model—which assumes everything inside an organization's network can be trusted—is obsolete in modern distributed and cloud environments. Zero Trust operates on the foundational principle of "never trust, always verify"</w:t>
      </w:r>
      <w:r w:rsidR="007F6676">
        <w:rPr>
          <w:rFonts w:ascii="Times New Roman" w:hAnsi="Times New Roman" w:cs="Times New Roman"/>
        </w:rPr>
        <w:t xml:space="preserve"> </w:t>
      </w:r>
      <w:r w:rsidR="007F6676" w:rsidRPr="007F6676">
        <w:rPr>
          <w:rFonts w:ascii="Times New Roman" w:hAnsi="Times New Roman" w:cs="Times New Roman"/>
        </w:rPr>
        <w:t>(National Institute of Standards and Technology [NIST], 2020).</w:t>
      </w:r>
    </w:p>
    <w:p w14:paraId="69A9EEC3" w14:textId="78C74675" w:rsidR="00E73D80" w:rsidRPr="00E73D80" w:rsidRDefault="00E73D80" w:rsidP="00E73D80">
      <w:pPr>
        <w:numPr>
          <w:ilvl w:val="0"/>
          <w:numId w:val="5"/>
        </w:numPr>
        <w:spacing w:line="480" w:lineRule="auto"/>
        <w:rPr>
          <w:rFonts w:ascii="Times New Roman" w:hAnsi="Times New Roman" w:cs="Times New Roman"/>
        </w:rPr>
      </w:pPr>
      <w:r w:rsidRPr="00E73D80">
        <w:rPr>
          <w:rFonts w:ascii="Times New Roman" w:hAnsi="Times New Roman" w:cs="Times New Roman"/>
        </w:rPr>
        <w:t>Core Tenets: Zero Trust mandates strict identity verification for every user and device attempting to access resources, regardless of whether they are inside or outside the network perimeter</w:t>
      </w:r>
      <w:r w:rsidR="007F6676">
        <w:rPr>
          <w:rFonts w:ascii="Times New Roman" w:hAnsi="Times New Roman" w:cs="Times New Roman"/>
        </w:rPr>
        <w:t xml:space="preserve"> </w:t>
      </w:r>
      <w:r w:rsidR="007F6676" w:rsidRPr="007F6676">
        <w:rPr>
          <w:rFonts w:ascii="Times New Roman" w:hAnsi="Times New Roman" w:cs="Times New Roman"/>
        </w:rPr>
        <w:t>(NIST, 2020)</w:t>
      </w:r>
      <w:r w:rsidRPr="00E73D80">
        <w:rPr>
          <w:rFonts w:ascii="Times New Roman" w:hAnsi="Times New Roman" w:cs="Times New Roman"/>
        </w:rPr>
        <w:t>.</w:t>
      </w:r>
    </w:p>
    <w:p w14:paraId="3BA52785" w14:textId="123F2B89" w:rsidR="00E73D80" w:rsidRPr="00BF4738" w:rsidRDefault="00E73D80" w:rsidP="00E73D80">
      <w:pPr>
        <w:numPr>
          <w:ilvl w:val="0"/>
          <w:numId w:val="5"/>
        </w:numPr>
        <w:spacing w:line="480" w:lineRule="auto"/>
        <w:rPr>
          <w:rFonts w:ascii="Times New Roman" w:hAnsi="Times New Roman" w:cs="Times New Roman"/>
        </w:rPr>
      </w:pPr>
      <w:r w:rsidRPr="00E73D80">
        <w:rPr>
          <w:rFonts w:ascii="Times New Roman" w:hAnsi="Times New Roman" w:cs="Times New Roman"/>
        </w:rPr>
        <w:t>Least Privilege Access: Users and services are granted only the minimum level of access necessary to complete their specific functions, effectively containing potential lateral</w:t>
      </w:r>
      <w:r w:rsidR="00995E64">
        <w:rPr>
          <w:rFonts w:ascii="Times New Roman" w:hAnsi="Times New Roman" w:cs="Times New Roman"/>
        </w:rPr>
        <w:t xml:space="preserve"> </w:t>
      </w:r>
      <w:r w:rsidRPr="00E73D80">
        <w:rPr>
          <w:rFonts w:ascii="Times New Roman" w:hAnsi="Times New Roman" w:cs="Times New Roman"/>
        </w:rPr>
        <w:t>movement during a security breach</w:t>
      </w:r>
      <w:r w:rsidR="007F6676" w:rsidRPr="007F6676">
        <w:t xml:space="preserve"> </w:t>
      </w:r>
      <w:r w:rsidR="007F6676" w:rsidRPr="007F6676">
        <w:rPr>
          <w:rFonts w:ascii="Times New Roman" w:hAnsi="Times New Roman" w:cs="Times New Roman"/>
        </w:rPr>
        <w:t>(NIST, 2020).</w:t>
      </w:r>
    </w:p>
    <w:p w14:paraId="36C15B6D" w14:textId="38097D51" w:rsidR="00E73D80" w:rsidRPr="00E73D80" w:rsidRDefault="00E73D80" w:rsidP="00E73D80">
      <w:pPr>
        <w:numPr>
          <w:ilvl w:val="0"/>
          <w:numId w:val="5"/>
        </w:numPr>
        <w:spacing w:line="480" w:lineRule="auto"/>
        <w:rPr>
          <w:rFonts w:ascii="Times New Roman" w:hAnsi="Times New Roman" w:cs="Times New Roman"/>
        </w:rPr>
      </w:pPr>
      <w:r w:rsidRPr="00E73D80">
        <w:rPr>
          <w:rFonts w:ascii="Times New Roman" w:hAnsi="Times New Roman" w:cs="Times New Roman"/>
        </w:rPr>
        <w:lastRenderedPageBreak/>
        <w:t>Continuous Monitoring: Real-time analytics, micro-segmentation, and continuous validation ensure that compromised credentials do not grant unrestricted access to enterprise systems</w:t>
      </w:r>
      <w:r w:rsidR="007F6676">
        <w:rPr>
          <w:rFonts w:ascii="Times New Roman" w:hAnsi="Times New Roman" w:cs="Times New Roman"/>
        </w:rPr>
        <w:t xml:space="preserve"> </w:t>
      </w:r>
      <w:r w:rsidR="007F6676" w:rsidRPr="007F6676">
        <w:rPr>
          <w:rFonts w:ascii="Times New Roman" w:hAnsi="Times New Roman" w:cs="Times New Roman"/>
        </w:rPr>
        <w:t>(NIST, 2020).</w:t>
      </w:r>
    </w:p>
    <w:p w14:paraId="32DD2ABB" w14:textId="77777777" w:rsidR="00E73D80" w:rsidRPr="00E73D80" w:rsidRDefault="00E73D80" w:rsidP="00E73D80">
      <w:pPr>
        <w:spacing w:line="480" w:lineRule="auto"/>
        <w:rPr>
          <w:rFonts w:ascii="Times New Roman" w:hAnsi="Times New Roman" w:cs="Times New Roman"/>
          <w:b/>
          <w:bCs/>
        </w:rPr>
      </w:pPr>
      <w:r w:rsidRPr="00E73D80">
        <w:rPr>
          <w:rFonts w:ascii="Times New Roman" w:hAnsi="Times New Roman" w:cs="Times New Roman"/>
          <w:b/>
          <w:bCs/>
        </w:rPr>
        <w:t>Implementation and Recommendations of Security Policies</w:t>
      </w:r>
    </w:p>
    <w:p w14:paraId="69BD225F" w14:textId="77777777" w:rsidR="00E73D80" w:rsidRPr="00E73D80" w:rsidRDefault="00E73D80" w:rsidP="00E73D80">
      <w:pPr>
        <w:spacing w:line="480" w:lineRule="auto"/>
        <w:rPr>
          <w:rFonts w:ascii="Times New Roman" w:hAnsi="Times New Roman" w:cs="Times New Roman"/>
        </w:rPr>
      </w:pPr>
      <w:r w:rsidRPr="00E73D80">
        <w:rPr>
          <w:rFonts w:ascii="Times New Roman" w:hAnsi="Times New Roman" w:cs="Times New Roman"/>
        </w:rPr>
        <w:t>Technical controls alone are insufficient without robust governance. Security policies bridge the gap between organizational objectives and technical execution.</w:t>
      </w:r>
    </w:p>
    <w:p w14:paraId="17DC7992" w14:textId="77777777" w:rsidR="00E73D80" w:rsidRPr="00E73D80" w:rsidRDefault="00E73D80" w:rsidP="00E73D80">
      <w:pPr>
        <w:numPr>
          <w:ilvl w:val="0"/>
          <w:numId w:val="6"/>
        </w:numPr>
        <w:spacing w:line="480" w:lineRule="auto"/>
        <w:rPr>
          <w:rFonts w:ascii="Times New Roman" w:hAnsi="Times New Roman" w:cs="Times New Roman"/>
        </w:rPr>
      </w:pPr>
      <w:r w:rsidRPr="00E73D80">
        <w:rPr>
          <w:rFonts w:ascii="Times New Roman" w:hAnsi="Times New Roman" w:cs="Times New Roman"/>
        </w:rPr>
        <w:t>Clear Guidelines: Policies must define acceptable use, data classification, incident response workflows, and compliance mandates clearly.</w:t>
      </w:r>
    </w:p>
    <w:p w14:paraId="00308E77" w14:textId="77777777" w:rsidR="00E73D80" w:rsidRPr="00E73D80" w:rsidRDefault="00E73D80" w:rsidP="00E73D80">
      <w:pPr>
        <w:numPr>
          <w:ilvl w:val="0"/>
          <w:numId w:val="6"/>
        </w:numPr>
        <w:spacing w:line="480" w:lineRule="auto"/>
        <w:rPr>
          <w:rFonts w:ascii="Times New Roman" w:hAnsi="Times New Roman" w:cs="Times New Roman"/>
        </w:rPr>
      </w:pPr>
      <w:r w:rsidRPr="00E73D80">
        <w:rPr>
          <w:rFonts w:ascii="Times New Roman" w:hAnsi="Times New Roman" w:cs="Times New Roman"/>
        </w:rPr>
        <w:t>Enforcement and Automation: To be effective, policies should be integrated into automated CI/CD pipelines through static and dynamic application security testing (SAST/DAST) tools that flag policy violations automatically.</w:t>
      </w:r>
    </w:p>
    <w:p w14:paraId="61D61616" w14:textId="77777777" w:rsidR="00E73D80" w:rsidRDefault="00E73D80" w:rsidP="00E73D80">
      <w:pPr>
        <w:numPr>
          <w:ilvl w:val="0"/>
          <w:numId w:val="6"/>
        </w:numPr>
        <w:spacing w:line="480" w:lineRule="auto"/>
        <w:rPr>
          <w:rFonts w:ascii="Times New Roman" w:hAnsi="Times New Roman" w:cs="Times New Roman"/>
        </w:rPr>
      </w:pPr>
      <w:r w:rsidRPr="00E73D80">
        <w:rPr>
          <w:rFonts w:ascii="Times New Roman" w:hAnsi="Times New Roman" w:cs="Times New Roman"/>
        </w:rPr>
        <w:t>Recommendations: Organizations should foster a security-first culture through regular developer training, mandatory code reviews, and continuous auditing of policy effectiveness.</w:t>
      </w:r>
    </w:p>
    <w:p w14:paraId="7E4E5A6D" w14:textId="77777777" w:rsidR="00995E64" w:rsidRDefault="00995E64" w:rsidP="00995E64">
      <w:pPr>
        <w:spacing w:line="480" w:lineRule="auto"/>
        <w:rPr>
          <w:rFonts w:ascii="Times New Roman" w:hAnsi="Times New Roman" w:cs="Times New Roman"/>
          <w:b/>
          <w:bCs/>
        </w:rPr>
      </w:pPr>
      <w:r w:rsidRPr="00995E64">
        <w:rPr>
          <w:rFonts w:ascii="Times New Roman" w:hAnsi="Times New Roman" w:cs="Times New Roman"/>
          <w:b/>
          <w:bCs/>
        </w:rPr>
        <w:t>Resources:</w:t>
      </w:r>
    </w:p>
    <w:p w14:paraId="0B9D5A4B" w14:textId="429722B5" w:rsidR="00625FE2" w:rsidRPr="00625FE2" w:rsidRDefault="00625FE2" w:rsidP="00625FE2">
      <w:pPr>
        <w:spacing w:line="480" w:lineRule="auto"/>
        <w:ind w:left="720" w:hanging="720"/>
        <w:rPr>
          <w:rFonts w:ascii="Times New Roman" w:hAnsi="Times New Roman" w:cs="Times New Roman"/>
        </w:rPr>
      </w:pPr>
      <w:r w:rsidRPr="00625FE2">
        <w:rPr>
          <w:rFonts w:ascii="Times New Roman" w:hAnsi="Times New Roman" w:cs="Times New Roman"/>
        </w:rPr>
        <w:t xml:space="preserve">National Institute of Standards and Technology. (2020). </w:t>
      </w:r>
      <w:r w:rsidRPr="00625FE2">
        <w:rPr>
          <w:rFonts w:ascii="Times New Roman" w:hAnsi="Times New Roman" w:cs="Times New Roman"/>
          <w:i/>
          <w:iCs/>
        </w:rPr>
        <w:t>Zero Trust architecture</w:t>
      </w:r>
      <w:r w:rsidRPr="00625FE2">
        <w:rPr>
          <w:rFonts w:ascii="Times New Roman" w:hAnsi="Times New Roman" w:cs="Times New Roman"/>
        </w:rPr>
        <w:t xml:space="preserve"> (NIST Special Publication 800-207). U.S. Department of Commerce. </w:t>
      </w:r>
      <w:hyperlink r:id="rId5" w:tgtFrame="_blank" w:history="1">
        <w:r w:rsidRPr="00625FE2">
          <w:rPr>
            <w:rStyle w:val="Hyperlink"/>
            <w:rFonts w:ascii="Times New Roman" w:hAnsi="Times New Roman" w:cs="Times New Roman"/>
          </w:rPr>
          <w:t>https://doi.org/10.6028/NIST.SP.800-207</w:t>
        </w:r>
      </w:hyperlink>
      <w:r w:rsidRPr="00625FE2">
        <w:rPr>
          <w:rFonts w:ascii="Times New Roman" w:hAnsi="Times New Roman" w:cs="Times New Roman"/>
        </w:rPr>
        <w:t xml:space="preserve"> </w:t>
      </w:r>
    </w:p>
    <w:p w14:paraId="2E9D940A" w14:textId="77777777" w:rsidR="00625FE2" w:rsidRPr="00625FE2" w:rsidRDefault="00625FE2" w:rsidP="00625FE2">
      <w:pPr>
        <w:spacing w:line="480" w:lineRule="auto"/>
        <w:ind w:left="720" w:hanging="720"/>
        <w:rPr>
          <w:rFonts w:ascii="Times New Roman" w:hAnsi="Times New Roman" w:cs="Times New Roman"/>
        </w:rPr>
      </w:pPr>
      <w:r w:rsidRPr="00625FE2">
        <w:rPr>
          <w:rFonts w:ascii="Times New Roman" w:hAnsi="Times New Roman" w:cs="Times New Roman"/>
        </w:rPr>
        <w:t xml:space="preserve">Souppaya, M., Scarfone, K., &amp; Dodson, D. (2022). </w:t>
      </w:r>
      <w:r w:rsidRPr="00625FE2">
        <w:rPr>
          <w:rFonts w:ascii="Times New Roman" w:hAnsi="Times New Roman" w:cs="Times New Roman"/>
          <w:i/>
          <w:iCs/>
        </w:rPr>
        <w:t>Secure software development framework (SSDF) version 1.1: Recommendations for mitigating the risk of software vulnerabilities</w:t>
      </w:r>
      <w:r w:rsidRPr="00625FE2">
        <w:rPr>
          <w:rFonts w:ascii="Times New Roman" w:hAnsi="Times New Roman" w:cs="Times New Roman"/>
        </w:rPr>
        <w:t xml:space="preserve"> </w:t>
      </w:r>
      <w:r w:rsidRPr="00625FE2">
        <w:rPr>
          <w:rFonts w:ascii="Times New Roman" w:hAnsi="Times New Roman" w:cs="Times New Roman"/>
        </w:rPr>
        <w:lastRenderedPageBreak/>
        <w:t xml:space="preserve">(NIST Special Publication 800-218). National Institute of Standards and Technology. </w:t>
      </w:r>
      <w:hyperlink r:id="rId6" w:tgtFrame="_blank" w:history="1">
        <w:r w:rsidRPr="00625FE2">
          <w:rPr>
            <w:rStyle w:val="Hyperlink"/>
            <w:rFonts w:ascii="Times New Roman" w:hAnsi="Times New Roman" w:cs="Times New Roman"/>
          </w:rPr>
          <w:t>https://doi.org/10.6028/NIST.SP.800-218</w:t>
        </w:r>
      </w:hyperlink>
    </w:p>
    <w:p w14:paraId="0B5DFC5A" w14:textId="77777777" w:rsidR="00625FE2" w:rsidRPr="00995E64" w:rsidRDefault="00625FE2" w:rsidP="00995E64">
      <w:pPr>
        <w:spacing w:line="480" w:lineRule="auto"/>
        <w:rPr>
          <w:rFonts w:ascii="Times New Roman" w:hAnsi="Times New Roman" w:cs="Times New Roman"/>
          <w:b/>
          <w:bCs/>
        </w:rPr>
      </w:pPr>
    </w:p>
    <w:p w14:paraId="46EFF31C" w14:textId="77777777" w:rsidR="00995E64" w:rsidRPr="00E73D80" w:rsidRDefault="00995E64" w:rsidP="00995E64">
      <w:pPr>
        <w:spacing w:line="480" w:lineRule="auto"/>
        <w:rPr>
          <w:rFonts w:ascii="Times New Roman" w:hAnsi="Times New Roman" w:cs="Times New Roman"/>
        </w:rPr>
      </w:pPr>
    </w:p>
    <w:p w14:paraId="30FE250B" w14:textId="77777777" w:rsidR="003605B6" w:rsidRPr="00E73D80" w:rsidRDefault="003605B6" w:rsidP="00E73D80">
      <w:pPr>
        <w:spacing w:line="480" w:lineRule="auto"/>
        <w:rPr>
          <w:rFonts w:ascii="Times New Roman" w:hAnsi="Times New Roman" w:cs="Times New Roman"/>
        </w:rPr>
      </w:pPr>
    </w:p>
    <w:sectPr w:rsidR="003605B6" w:rsidRPr="00E73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12A3"/>
    <w:multiLevelType w:val="multilevel"/>
    <w:tmpl w:val="5FD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D2D4B"/>
    <w:multiLevelType w:val="multilevel"/>
    <w:tmpl w:val="883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C732B"/>
    <w:multiLevelType w:val="multilevel"/>
    <w:tmpl w:val="2D5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60B5E"/>
    <w:multiLevelType w:val="multilevel"/>
    <w:tmpl w:val="246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660DA4"/>
    <w:multiLevelType w:val="multilevel"/>
    <w:tmpl w:val="EC28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56875"/>
    <w:multiLevelType w:val="multilevel"/>
    <w:tmpl w:val="2B2A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7745279">
    <w:abstractNumId w:val="3"/>
  </w:num>
  <w:num w:numId="2" w16cid:durableId="1555117156">
    <w:abstractNumId w:val="5"/>
  </w:num>
  <w:num w:numId="3" w16cid:durableId="392853545">
    <w:abstractNumId w:val="0"/>
  </w:num>
  <w:num w:numId="4" w16cid:durableId="56980561">
    <w:abstractNumId w:val="1"/>
  </w:num>
  <w:num w:numId="5" w16cid:durableId="131216542">
    <w:abstractNumId w:val="2"/>
  </w:num>
  <w:num w:numId="6" w16cid:durableId="1548447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B6"/>
    <w:rsid w:val="0014645B"/>
    <w:rsid w:val="001D3D57"/>
    <w:rsid w:val="00222B43"/>
    <w:rsid w:val="002606C4"/>
    <w:rsid w:val="003605B6"/>
    <w:rsid w:val="00625FE2"/>
    <w:rsid w:val="007F6676"/>
    <w:rsid w:val="00995E64"/>
    <w:rsid w:val="00A1413D"/>
    <w:rsid w:val="00BF4738"/>
    <w:rsid w:val="00C65C83"/>
    <w:rsid w:val="00E73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2C72"/>
  <w15:chartTrackingRefBased/>
  <w15:docId w15:val="{3FF50705-D3C9-4F7D-AF2F-7AD7B0C87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5B6"/>
    <w:rPr>
      <w:rFonts w:eastAsiaTheme="majorEastAsia" w:cstheme="majorBidi"/>
      <w:color w:val="272727" w:themeColor="text1" w:themeTint="D8"/>
    </w:rPr>
  </w:style>
  <w:style w:type="paragraph" w:styleId="Title">
    <w:name w:val="Title"/>
    <w:basedOn w:val="Normal"/>
    <w:next w:val="Normal"/>
    <w:link w:val="TitleChar"/>
    <w:uiPriority w:val="10"/>
    <w:qFormat/>
    <w:rsid w:val="00360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5B6"/>
    <w:pPr>
      <w:spacing w:before="160"/>
      <w:jc w:val="center"/>
    </w:pPr>
    <w:rPr>
      <w:i/>
      <w:iCs/>
      <w:color w:val="404040" w:themeColor="text1" w:themeTint="BF"/>
    </w:rPr>
  </w:style>
  <w:style w:type="character" w:customStyle="1" w:styleId="QuoteChar">
    <w:name w:val="Quote Char"/>
    <w:basedOn w:val="DefaultParagraphFont"/>
    <w:link w:val="Quote"/>
    <w:uiPriority w:val="29"/>
    <w:rsid w:val="003605B6"/>
    <w:rPr>
      <w:i/>
      <w:iCs/>
      <w:color w:val="404040" w:themeColor="text1" w:themeTint="BF"/>
    </w:rPr>
  </w:style>
  <w:style w:type="paragraph" w:styleId="ListParagraph">
    <w:name w:val="List Paragraph"/>
    <w:basedOn w:val="Normal"/>
    <w:uiPriority w:val="34"/>
    <w:qFormat/>
    <w:rsid w:val="003605B6"/>
    <w:pPr>
      <w:ind w:left="720"/>
      <w:contextualSpacing/>
    </w:pPr>
  </w:style>
  <w:style w:type="character" w:styleId="IntenseEmphasis">
    <w:name w:val="Intense Emphasis"/>
    <w:basedOn w:val="DefaultParagraphFont"/>
    <w:uiPriority w:val="21"/>
    <w:qFormat/>
    <w:rsid w:val="003605B6"/>
    <w:rPr>
      <w:i/>
      <w:iCs/>
      <w:color w:val="0F4761" w:themeColor="accent1" w:themeShade="BF"/>
    </w:rPr>
  </w:style>
  <w:style w:type="paragraph" w:styleId="IntenseQuote">
    <w:name w:val="Intense Quote"/>
    <w:basedOn w:val="Normal"/>
    <w:next w:val="Normal"/>
    <w:link w:val="IntenseQuoteChar"/>
    <w:uiPriority w:val="30"/>
    <w:qFormat/>
    <w:rsid w:val="00360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5B6"/>
    <w:rPr>
      <w:i/>
      <w:iCs/>
      <w:color w:val="0F4761" w:themeColor="accent1" w:themeShade="BF"/>
    </w:rPr>
  </w:style>
  <w:style w:type="character" w:styleId="IntenseReference">
    <w:name w:val="Intense Reference"/>
    <w:basedOn w:val="DefaultParagraphFont"/>
    <w:uiPriority w:val="32"/>
    <w:qFormat/>
    <w:rsid w:val="003605B6"/>
    <w:rPr>
      <w:b/>
      <w:bCs/>
      <w:smallCaps/>
      <w:color w:val="0F4761" w:themeColor="accent1" w:themeShade="BF"/>
      <w:spacing w:val="5"/>
    </w:rPr>
  </w:style>
  <w:style w:type="character" w:styleId="Hyperlink">
    <w:name w:val="Hyperlink"/>
    <w:basedOn w:val="DefaultParagraphFont"/>
    <w:uiPriority w:val="99"/>
    <w:unhideWhenUsed/>
    <w:rsid w:val="00625FE2"/>
    <w:rPr>
      <w:color w:val="467886" w:themeColor="hyperlink"/>
      <w:u w:val="single"/>
    </w:rPr>
  </w:style>
  <w:style w:type="character" w:styleId="UnresolvedMention">
    <w:name w:val="Unresolved Mention"/>
    <w:basedOn w:val="DefaultParagraphFont"/>
    <w:uiPriority w:val="99"/>
    <w:semiHidden/>
    <w:unhideWhenUsed/>
    <w:rsid w:val="00625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6028/NIST.SP.800-218" TargetMode="External"/><Relationship Id="rId5" Type="http://schemas.openxmlformats.org/officeDocument/2006/relationships/hyperlink" Target="https://doi.org/10.6028/NIST.SP.800-2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Amanda</dc:creator>
  <cp:keywords/>
  <dc:description/>
  <cp:lastModifiedBy>Nelson, Amanda</cp:lastModifiedBy>
  <cp:revision>7</cp:revision>
  <dcterms:created xsi:type="dcterms:W3CDTF">2026-10-24T13:22:00Z</dcterms:created>
  <dcterms:modified xsi:type="dcterms:W3CDTF">2026-10-24T13:48:00Z</dcterms:modified>
</cp:coreProperties>
</file>