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0"/>
        </w:rPr>
        <w:t>Adaptive Multi-Hop Reasoning &amp; Inference Economics</w:t>
        <w:br/>
        <w:t>for Complex SEC 10-K Financial Disclosures</w:t>
      </w:r>
    </w:p>
    <w:p>
      <w:pPr>
        <w:spacing w:after="320"/>
        <w:jc w:val="center"/>
      </w:pPr>
      <w:r>
        <w:rPr>
          <w:i/>
          <w:color w:val="555555"/>
          <w:sz w:val="22"/>
        </w:rPr>
        <w:t>CS614: Generative AI with Large Language Models — Group 8 Final Report</w:t>
        <w:br/>
        <w:t>Singapore Management University | November 2026</w:t>
      </w:r>
    </w:p>
    <w:p>
      <w:pPr>
        <w:spacing w:after="120"/>
      </w:pPr>
    </w:p>
    <w:p>
      <w:pPr>
        <w:keepNext/>
        <w:spacing w:before="320" w:after="120"/>
      </w:pPr>
      <w:r>
        <w:rPr>
          <w:b/>
          <w:color w:val="1B365D"/>
          <w:sz w:val="28"/>
        </w:rPr>
        <w:t>1. Executive Summary &amp; Problem Motivation</w:t>
      </w:r>
    </w:p>
    <w:p>
      <w:r>
        <w:t>Modern enterprise financial analysis requires precise, audit-grade question answering over United States Securities and Exchange Commission (SEC) Form 10-K annual filings. Unlike narrative domains, corporate financial disclosures present structural characteristics that routinely defeat standard single-pass Retrieval-Augmented Generation (RAG) pipelines. Critical premises are frequently separated across distant, non-adjacent items—such as Risk Factors in Item 1A, Liquidity in Item 7 (Management's Discussion &amp; Analysis), and Debt Covenant Schedules in Item 8 (Note 15/17).</w:t>
      </w:r>
    </w:p>
    <w:p>
      <w:r>
        <w:t>Furthermore, dense vector embeddings often exhibit semantic collapse when differentiating closely related accounting disclosures (for example, operating lease commitments versus finance lease liabilities, or total revenue versus segment-specific revenue). In production deployment across financial institutions—such as equity research desks and credit risk compliance units—an incorrect answer is not merely an inconvenience; it carries substantial legal and economic liabilities.</w:t>
      </w:r>
    </w:p>
    <w:p>
      <w:r>
        <w:t>To resolve these challenges, this study develops and evaluates four distinct architectural paradigms on a standardized 97-question benchmark spanning FY2015–FY2026 filings across major enterprise entities (Apple, Amazon, Google, Microsoft, NVIDIA, Tesla, and Walmart). We investigate the fundamental operational trade-offs of modern RAG architectures: does dynamic, multi-stage agentic reasoning justify its latency and monetary overhead over single-pass RAG, and where is the optimal operational Pareto frontier?</w:t>
      </w:r>
    </w:p>
    <w:p>
      <w:pPr>
        <w:keepNext/>
        <w:spacing w:before="320" w:after="120"/>
      </w:pPr>
      <w:r>
        <w:rPr>
          <w:b/>
          <w:color w:val="1B365D"/>
          <w:sz w:val="28"/>
        </w:rPr>
        <w:t>2. Team Attribution &amp; Responsibility Matrix</w:t>
      </w:r>
    </w:p>
    <w:p>
      <w:r>
        <w:t>In strict alignment with the course assessment policy requiring individual documentation of team contributions, Table 1 outlines the core modules, research questions, and deliverables owned by each team member.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Team Member</w:t>
            </w:r>
          </w:p>
        </w:tc>
        <w:tc>
          <w:tcPr>
            <w:tcW w:type="dxa" w:w="234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Core Engineering Modules</w:t>
            </w:r>
          </w:p>
        </w:tc>
        <w:tc>
          <w:tcPr>
            <w:tcW w:type="dxa" w:w="234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Primary Research Scope</w:t>
            </w:r>
          </w:p>
        </w:tc>
        <w:tc>
          <w:tcPr>
            <w:tcW w:type="dxa" w:w="234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Deliverables Owned</w:t>
            </w:r>
          </w:p>
        </w:tc>
      </w:tr>
      <w:tr>
        <w:tc>
          <w:tcPr>
            <w:tcW w:type="dxa" w:w="234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Anish (Lead)</w:t>
            </w:r>
          </w:p>
        </w:tc>
        <w:tc>
          <w:tcPr>
            <w:tcW w:type="dxa" w:w="234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LangGraph State Machine, Hybrid Retriever, XBRL Tabular Tool, Telemetry Wrapper, Benchmark Harness</w:t>
            </w:r>
          </w:p>
        </w:tc>
        <w:tc>
          <w:tcPr>
            <w:tcW w:type="dxa" w:w="234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System C Architecture &amp; RQ3 (Inference Economics)</w:t>
            </w:r>
          </w:p>
        </w:tc>
        <w:tc>
          <w:tcPr>
            <w:tcW w:type="dxa" w:w="234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Graph Orchestration, Decomposer, Tabular Tool, Ablation Suite, Cost &amp; Latency Pareto Models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Aryan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Conditioned Query Generator, Synthesizer, Citation Mapper, Numerical &amp; Semantic Guardrail, Repair Node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System C Citations &amp; RQ2 (Faithfulness &amp; Grounding)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generator.py, synthesizer.py, verifier.py, repair.py, RAGAS &amp; Custom Citation Eval Harness</w:t>
            </w:r>
          </w:p>
        </w:tc>
      </w:tr>
      <w:tr>
        <w:tc>
          <w:tcPr>
            <w:tcW w:type="dxa" w:w="234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Amanda</w:t>
            </w:r>
          </w:p>
        </w:tc>
        <w:tc>
          <w:tcPr>
            <w:tcW w:type="dxa" w:w="234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System A Baseline (Dense Chroma/Supabase), Benchmark Curation (97 QAs), Anti-Leakage Firewalls</w:t>
            </w:r>
          </w:p>
        </w:tc>
        <w:tc>
          <w:tcPr>
            <w:tcW w:type="dxa" w:w="234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System A Architecture &amp; RQ1 Starter Skeleton</w:t>
            </w:r>
          </w:p>
        </w:tc>
        <w:tc>
          <w:tcPr>
            <w:tcW w:type="dxa" w:w="234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Vanilla RAG pipeline, SEC filings ingestion, gold QA generation and manual validation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Xavier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System B Pipeline (BM25 + BGE Reranker), ColPali Visual Embeddings Evaluation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System B Architecture &amp; RQ1 (Cross-Section Retrieval)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Hybrid retrieval fusion, Cross-Encoder reranker integration, ColPali evaluation notebooks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B365D"/>
          <w:sz w:val="28"/>
        </w:rPr>
        <w:t>3. System Architecture &amp; Comparative Topology</w:t>
      </w:r>
    </w:p>
    <w:p>
      <w:r>
        <w:t>To rigorously benchmark architectural progression, we implemented four distinct system configurations over an identical corpus of 95,044 chunks indexed into Supabase PostgreSQL (pgvector) with 384-dimensional bge-small-en-v1.5 embeddings:</w:t>
      </w:r>
    </w:p>
    <w:p>
      <w:r>
        <w:t>1. System A (Vanilla Dense Baseline): Single-pass dense semantic retrieval (top-k=10) followed by direct prompt synthesis using OpenAI gpt-5.4.</w:t>
        <w:br/>
        <w:t>2. System B (Advanced Single-Pass Hybrid): Dual-channel retrieval combining sparse BM25 keyword matching with dense embeddings, fused via Reciprocal Rank Fusion (RRF, k=60) and reranked using bge-reranker-base to select the top-3 chunks.</w:t>
        <w:br/>
        <w:t>3. System C v1 (Adaptive Multi-Hop RAG - AMR): A cyclic state graph incorporating query decomposition, hybrid retrieval, dynamic evidence sufficiency reflection, follow-up sub-query generation (up to 3 hops), inline table citation mapping, active numerical guardrails, and self-healing repair.</w:t>
        <w:br/>
        <w:t>4. System C v2 (Agentic Adaptive Multi-Hop RAG - AAMR): Extends System C v1 by incorporating autonomous tool routing to pre-retrieval structured SEC XBRL financials (financials.csv / Supabase sec_financials), enabling one-hop resolution of quantitative disclosures.</w:t>
      </w:r>
    </w:p>
    <w:p>
      <w:pPr>
        <w:keepNext/>
        <w:spacing w:before="320" w:after="120"/>
      </w:pPr>
      <w:r>
        <w:rPr>
          <w:b/>
          <w:color w:val="1B365D"/>
          <w:sz w:val="28"/>
        </w:rPr>
        <w:t>4. System C Technical Specification: v1 AMR vs. v2 AAMR</w:t>
      </w:r>
    </w:p>
    <w:p>
      <w:r>
        <w:t>System C is implemented as a stateful computational graph using LangGraph. Execution is governed by an immutable state contract (AdaptiveRAGState) tracking query text, entity metadata, accumulated evidence chunks, reflection reasoning, citation records, and node-level telemetry.</w:t>
      </w:r>
    </w:p>
    <w:p>
      <w:pPr>
        <w:keepNext/>
        <w:spacing w:before="240" w:after="80"/>
      </w:pPr>
      <w:r>
        <w:rPr>
          <w:b/>
          <w:color w:val="005A9C"/>
          <w:sz w:val="24"/>
        </w:rPr>
        <w:t>4.1 Core Planning &amp; Retrieval Modules (Anish's Scope)</w:t>
      </w:r>
    </w:p>
    <w:p>
      <w:r>
        <w:t>A. Query Decomposer &amp; Entity Planner (nodes/decomposer.py): Incoming financial queries are parsed by an LLM prompt that normalizes natural-language company mentions to standard SEC tickers (e.g., 'Amazon and Microsoft' -&gt; ['AMZN', 'MSFT']) and extracts target fiscal years. The decomposer detects whether the query requires balance sheet, income statement, or cash flow ratios, setting needs_tabular_tool = True when quantitative metrics are detected.</w:t>
      </w:r>
    </w:p>
    <w:p>
      <w:r>
        <w:t>B. Agentic Tabular Tool (tools/tabular_tool.py): In System C v2 (AAMR), if needs_tabular_tool is flagged, the graph routes immediately to tabular_tool_node prior to running document retrieval. This node queries live Supabase PostgreSQL (sec_financials) or local financials.csv, pulling standardized XBRL figures (Revenue, Operating Income, Total Assets, Operating Cash Flow, Diluted EPS). It formats these into structured markdown blocks labeled [F-&lt;TICKER&gt;-&lt;YEAR&gt;] and injects them directly into accumulated_evidence, satisfying quantitative requirements early.</w:t>
      </w:r>
    </w:p>
    <w:p>
      <w:r>
        <w:t>C. Enterprise Hybrid Retriever (nodes/retriever.py): When narrative or footnote context is needed, retriever_node performs metadata pre-filtered hybrid search over Supabase sec_chunks. Sparse BM25 and dense cosine similarity rankings are combined via RRF and reranked via BGE Cross-Encoder. Deduplication ensures only newly discovered chunks are appended across hops.</w:t>
      </w:r>
    </w:p>
    <w:p>
      <w:r>
        <w:t>D. Evidence Sufficiency Critic (nodes/critic.py): Evaluates whether accumulated evidence is sufficient to answer the original query. Computes a continuous sufficiency score (0.0 to 1.0) and applies deterministic anti-loop guards: terminating on chunk saturation (no new information) or multi-company incompleteness. If sufficient or if current_hop &gt;= max_hops (3), it routes to synthesis; otherwise, it routes to the sub-query generator.</w:t>
      </w:r>
    </w:p>
    <w:p>
      <w:pPr>
        <w:keepNext/>
        <w:spacing w:before="240" w:after="80"/>
      </w:pPr>
      <w:r>
        <w:rPr>
          <w:b/>
          <w:color w:val="005A9C"/>
          <w:sz w:val="24"/>
        </w:rPr>
        <w:t>4.2 Generation, Citations &amp; Guardrail Modules (Aryan's Scope)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0F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C00000"/>
              </w:rPr>
              <w:t>[FOR ARYAN TO ELABORATE: Conditioned Sub-Query Generator — src/system_c/nodes/generator.py]</w:t>
            </w:r>
          </w:p>
          <w:p>
            <w:pPr>
              <w:spacing w:after="0"/>
            </w:pPr>
            <w:r>
              <w:rPr>
                <w:i/>
                <w:color w:val="C00000"/>
              </w:rPr>
              <w:t>Aryan to elaborate on: (1) How missing entities, missing years, and missing premises flagged by the Critic are parsed into distinct prompt fields; (2) How the full evidence summary of up to 40 chunks is formatted compactly; (3) How Jaccard word-overlap similarity (threshold &gt;= 0.8) with stopword and section-phrase filtering prevents query stagnation; and (4) The deterministic fallback mechanism (&lt;ticker&gt; &lt;missing premise&gt;) on JSON parse failures.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0F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C00000"/>
              </w:rPr>
              <w:t>[FOR ARYAN TO ELABORATE: Answer Synthesizer &amp; Citation Mapper — src/system_c/nodes/synthesizer.py &amp; citations.py]</w:t>
            </w:r>
          </w:p>
          <w:p>
            <w:pPr>
              <w:spacing w:after="0"/>
            </w:pPr>
            <w:r>
              <w:rPr>
                <w:i/>
                <w:color w:val="C00000"/>
              </w:rPr>
              <w:t>Aryan to elaborate on: (1) The [E#] prompt-level citation abstraction that eliminates LLM tag hallucination; (2) Regex expansion into standardized handoff tags ([TICKER FYYEAR, Section, ChunkID] and [F-TICKER-YEAR]); (3) Sentence splitting rules preserving periods inside section names and trailing tags; and (4) The strict token-level chunk resolver producing CitationRecord objects per (sentence, cited chunk) pair.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0F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C00000"/>
              </w:rPr>
              <w:t>[FOR ARYAN TO ELABORATE: Active Numerical &amp; Semantic Guardrail — src/system_c/guardrails/verifier.py]</w:t>
            </w:r>
          </w:p>
          <w:p>
            <w:pPr>
              <w:spacing w:after="0"/>
            </w:pPr>
            <w:r>
              <w:rPr>
                <w:i/>
                <w:color w:val="C00000"/>
              </w:rPr>
              <w:t>Aryan to elaborate on: (1) Sentence-level isolation: checking numbers strictly against chunks cited by that specific sentence; (2) Scale-aware regex matching ($ amounts, %, bps, millions vs billions table normalizers); (3) The arithmetic derivation engine (_is_derived) verifying computed growth rates, ratios, and differences; and (4) The batched LLM semantic faithfulness check on number-free factual claims and refusal statements.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0F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C00000"/>
              </w:rPr>
              <w:t>[FOR ARYAN TO ELABORATE: Closed-Loop Self-Healing Repair — src/system_c/nodes/repair.py]</w:t>
            </w:r>
          </w:p>
          <w:p>
            <w:pPr>
              <w:spacing w:after="0"/>
            </w:pPr>
            <w:r>
              <w:rPr>
                <w:i/>
                <w:color w:val="C00000"/>
              </w:rPr>
              <w:t>Aryan to elaborate on: (1) The active repair routing edge triggered when guardrail_passed == False and repairs &lt; max_repairs; (2) The surgical repair prompt providing flagged figures, candidate evidence blocks, and two-block derivation hints; and (3) Rebuilding citation records from the repaired answer text.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005A9C"/>
          <w:sz w:val="24"/>
        </w:rPr>
        <w:t>4.3 Architectural Insights &amp; The v1 vs. v2 Operational Trade-Off</w:t>
      </w:r>
    </w:p>
    <w:p>
      <w:r>
        <w:t>A critical finding from our 97-question evaluation is the operational divergence between System C v1 and v2. While System C v2 delivers a 36.7% reduction in median latency (13.6s vs. 21.4s) and achieves 54.6% single-hop early stopping (vs. 28.9% in v1), System C v1 achieves higher overall benchmark accuracy (89.66% vs. 82.76%). In-depth error analysis revealed two profound domain mechanisms:</w:t>
      </w:r>
    </w:p>
    <w:p>
      <w:r>
        <w:t>1. Overcoming the 10-K 'Lookback Barrier' (v2 Advantage): SEC regulations mandate that balance sheets report only the current and immediately preceding fiscal years. In questions spanning non-consecutive multi-year intervals (e.g., Tesla FY2021 to FY2025 total assets in gold-066), pure textual RAG (v1) fails across all 3 hops because the 2025 10-K text does not carry 2021 figures. System C v2 overcomes this barrier in 1 hop because its tabular tool queries continuous multi-year XBRL time-series.</w:t>
      </w:r>
    </w:p>
    <w:p>
      <w:r>
        <w:t>2. The Premature Sufficiency Trade-Off (v1 Advantage on Footnotes): In 9 questions (e.g., NVIDIA Tegra Processor segment revenue, Alphabet non-hedging FX contracts, Amazon scheduled debt repayments after 2021), System C v1 succeeded while v2 failed. In v2, the presence of macro balance sheet tables ([F-...]) fooled the Sufficiency Critic into believing financial evidence was already complete, causing premature termination at Hop 1 before granular Item 8 footnotes were retrieved. System C v1, lacking the macro table shortcut, was forced into Hops 2 and 3, successfully discovering the exact footnote tables.</w:t>
      </w:r>
    </w:p>
    <w:p>
      <w:pPr>
        <w:keepNext/>
        <w:spacing w:before="320" w:after="120"/>
      </w:pPr>
      <w:r>
        <w:rPr>
          <w:b/>
          <w:color w:val="1B365D"/>
          <w:sz w:val="28"/>
        </w:rPr>
        <w:t>5. Experimental Setup &amp; Protocol</w:t>
      </w:r>
    </w:p>
    <w:p>
      <w:r>
        <w:t>Evaluation was conducted under a strict, reproducible protocol using Docker containerization (docker-compose run --rm runner):</w:t>
        <w:br/>
        <w:t>• Benchmark Dataset: Standardized 97-question Benchmark v1 (data/benchmark_qa_pool_2015.jsonl) spanning FY2015–FY2026 SEC 10-K disclosures, incorporating single-hop factual items, cross-section multi-hop queries, quantitative tables, and multi-company comparative ratios.</w:t>
        <w:br/>
        <w:t>• Model Configuration: OpenAI gpt-5.4 via official API endpoints (temperature = 0.0, max_completion_tokens = 2048), metered at $2.50 / 1M prompt tokens and $15.00 / 1M completion tokens.</w:t>
        <w:br/>
        <w:t>• Total Evaluation Scope: 388 total completed system runs (97 questions × 4 systems). Zero runs were mocked in final evaluation.</w:t>
        <w:br/>
        <w:t>• Instrumentation: Real-time high-resolution monotonic timers tracking end-to-end latency, prompt/completion token counters, and an automatic $5.00 circuit breaker.</w:t>
      </w:r>
    </w:p>
    <w:p>
      <w:pPr>
        <w:keepNext/>
        <w:spacing w:before="320" w:after="120"/>
      </w:pPr>
      <w:r>
        <w:rPr>
          <w:b/>
          <w:color w:val="1B365D"/>
          <w:sz w:val="28"/>
        </w:rPr>
        <w:t>6. Research Question 3 (RQ3): Inference Economics &amp; Operational Trade-offs</w:t>
      </w:r>
    </w:p>
    <w:p>
      <w:r>
        <w:t>RQ3 investigates whether multi-hop agentic reasoning justifies its latency and monetary overhead over single-pass RAG, and evaluates the empirical Pareto frontier. Table 2 presents the master evaluation scorecard computed across all 97 benchmark questions.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Performance Metric</w:t>
            </w:r>
          </w:p>
        </w:tc>
        <w:tc>
          <w:tcPr>
            <w:tcW w:type="dxa" w:w="1872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System A (Dense)</w:t>
            </w:r>
          </w:p>
        </w:tc>
        <w:tc>
          <w:tcPr>
            <w:tcW w:type="dxa" w:w="1872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System B (Hybrid+Rerank)</w:t>
            </w:r>
          </w:p>
        </w:tc>
        <w:tc>
          <w:tcPr>
            <w:tcW w:type="dxa" w:w="1872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System C v1 (AMR)</w:t>
            </w:r>
          </w:p>
        </w:tc>
        <w:tc>
          <w:tcPr>
            <w:tcW w:type="dxa" w:w="1872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System C v2 (AAMR)</w:t>
            </w:r>
          </w:p>
        </w:tc>
      </w:tr>
      <w:tr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Benchmark Questions Evaluated (N)</w:t>
            </w:r>
          </w:p>
        </w:tc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97</w:t>
            </w:r>
          </w:p>
        </w:tc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97</w:t>
            </w:r>
          </w:p>
        </w:tc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97</w:t>
            </w:r>
          </w:p>
        </w:tc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97</w:t>
            </w:r>
          </w:p>
        </w:tc>
      </w:tr>
      <w:tr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Numerical Accuracy (%)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71.26%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58.62%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89.66%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82.76%</w:t>
            </w:r>
          </w:p>
        </w:tc>
      </w:tr>
      <w:tr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Verified Correct Question Count</w:t>
            </w:r>
          </w:p>
        </w:tc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62 / 87</w:t>
            </w:r>
          </w:p>
        </w:tc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51 / 87</w:t>
            </w:r>
          </w:p>
        </w:tc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78 / 87</w:t>
            </w:r>
          </w:p>
        </w:tc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72 / 87</w:t>
            </w:r>
          </w:p>
        </w:tc>
      </w:tr>
      <w:tr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Mean Retrieval Hops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1.00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1.00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2.24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1.77 (-21.0%)</w:t>
            </w:r>
          </w:p>
        </w:tc>
      </w:tr>
      <w:tr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Hop 1 Early-Stop Rate (%)</w:t>
            </w:r>
          </w:p>
        </w:tc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100.0%</w:t>
            </w:r>
          </w:p>
        </w:tc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100.0%</w:t>
            </w:r>
          </w:p>
        </w:tc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28.87%</w:t>
            </w:r>
          </w:p>
        </w:tc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54.64% (+89.3%)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End-to-End Latency p50 (ms)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2,429.0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6,608.2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21,428.2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13,557.5 (-36.7%)</w:t>
            </w:r>
          </w:p>
        </w:tc>
      </w:tr>
      <w:tr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End-to-End Latency Mean (ms)</w:t>
            </w:r>
          </w:p>
        </w:tc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2,882.5</w:t>
            </w:r>
          </w:p>
        </w:tc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6,898.2</w:t>
            </w:r>
          </w:p>
        </w:tc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20,929.9</w:t>
            </w:r>
          </w:p>
        </w:tc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17,410.6 (-16.8%)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Mean Total Tokens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2,186.6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1,332.1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12,301.1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10,653.9 (-13.4%)</w:t>
            </w:r>
          </w:p>
        </w:tc>
      </w:tr>
      <w:tr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Inference Cost / 1,000 Queries ($)</w:t>
            </w:r>
          </w:p>
        </w:tc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$0.383</w:t>
            </w:r>
          </w:p>
        </w:tc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$0.236</w:t>
            </w:r>
          </w:p>
        </w:tc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$45.387</w:t>
            </w:r>
          </w:p>
        </w:tc>
        <w:tc>
          <w:tcPr>
            <w:tcW w:type="dxa" w:w="1872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$39.103 (-13.8%)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Risk-Adjusted Loss per Query ($)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$0.3612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$0.4745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$0.2413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$0.2968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005A9C"/>
          <w:sz w:val="24"/>
        </w:rPr>
        <w:t>6.1 Formal Statistical Hypothesis Testing</w:t>
      </w:r>
    </w:p>
    <w:p>
      <w:r>
        <w:t>To establish scientific validity, paired Wilcoxon signed-rank tests were executed across all 97 benchmark questions, with Holm-Bonferroni Family-Wise Error Rate (FWER) adjustments applied to control for multiple testing. Table 3 confirms our hypotheses.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Hypothesis / Contrast</w:t>
            </w:r>
          </w:p>
        </w:tc>
        <w:tc>
          <w:tcPr>
            <w:tcW w:type="dxa" w:w="156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Target Metric</w:t>
            </w:r>
          </w:p>
        </w:tc>
        <w:tc>
          <w:tcPr>
            <w:tcW w:type="dxa" w:w="156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Wilcoxon W</w:t>
            </w:r>
          </w:p>
        </w:tc>
        <w:tc>
          <w:tcPr>
            <w:tcW w:type="dxa" w:w="156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p-raw</w:t>
            </w:r>
          </w:p>
        </w:tc>
        <w:tc>
          <w:tcPr>
            <w:tcW w:type="dxa" w:w="156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p-adjusted (Holm)</w:t>
            </w:r>
          </w:p>
        </w:tc>
        <w:tc>
          <w:tcPr>
            <w:tcW w:type="dxa" w:w="1560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Academic Conclusion</w:t>
            </w:r>
          </w:p>
        </w:tc>
      </w:tr>
      <w:tr>
        <w:tc>
          <w:tcPr>
            <w:tcW w:type="dxa" w:w="15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H3c: Hop Reduction (v2 vs. v1)</w:t>
            </w:r>
          </w:p>
        </w:tc>
        <w:tc>
          <w:tcPr>
            <w:tcW w:type="dxa" w:w="15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hops (v2 &lt; v1)</w:t>
            </w:r>
          </w:p>
        </w:tc>
        <w:tc>
          <w:tcPr>
            <w:tcW w:type="dxa" w:w="15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21.0</w:t>
            </w:r>
          </w:p>
        </w:tc>
        <w:tc>
          <w:tcPr>
            <w:tcW w:type="dxa" w:w="15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15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15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Supported (p &lt; 0.001): XBRL pre-retrieval significantly cuts hops.</w:t>
            </w:r>
          </w:p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Latency Reduction (v2 vs. v1)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latency_ms (v2 &lt; v1)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1,532.0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0.00238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0.0048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Supported (p &lt; 0.01): System C v2 is significantly faster than v1.</w:t>
            </w:r>
          </w:p>
        </w:tc>
      </w:tr>
      <w:tr>
        <w:tc>
          <w:tcPr>
            <w:tcW w:type="dxa" w:w="15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H3b: Accuracy (C v1 vs. System B)</w:t>
            </w:r>
          </w:p>
        </w:tc>
        <w:tc>
          <w:tcPr>
            <w:tcW w:type="dxa" w:w="15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accuracy (v1 &gt; B)</w:t>
            </w:r>
          </w:p>
        </w:tc>
        <w:tc>
          <w:tcPr>
            <w:tcW w:type="dxa" w:w="15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32.0</w:t>
            </w:r>
          </w:p>
        </w:tc>
        <w:tc>
          <w:tcPr>
            <w:tcW w:type="dxa" w:w="15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15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15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Supported (p &lt; 0.001): Multi-hop reasoning outperforms single-pass hybrid RAG.</w:t>
            </w:r>
          </w:p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Accuracy (C v2 vs. System B)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accuracy (v2 &gt; B)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26.0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0.00003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0.0001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Supported (p &lt; 0.001): Agentic multi-hop with XBRL outperforms single-pass hybrid RAG.</w:t>
            </w:r>
          </w:p>
        </w:tc>
      </w:tr>
      <w:tr>
        <w:tc>
          <w:tcPr>
            <w:tcW w:type="dxa" w:w="15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H3a: Reranker Latency Penalty (B vs. A)</w:t>
            </w:r>
          </w:p>
        </w:tc>
        <w:tc>
          <w:tcPr>
            <w:tcW w:type="dxa" w:w="15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latency_ms (B &gt; A)</w:t>
            </w:r>
          </w:p>
        </w:tc>
        <w:tc>
          <w:tcPr>
            <w:tcW w:type="dxa" w:w="15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98.0</w:t>
            </w:r>
          </w:p>
        </w:tc>
        <w:tc>
          <w:tcPr>
            <w:tcW w:type="dxa" w:w="15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15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15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Supported (p &lt; 0.001): Cross-encoder reranking imposes a 2.4x latency penalty.</w:t>
            </w:r>
          </w:p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Accuracy Contrast (B vs. A)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accuracy (B vs. A)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135.0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0.04109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0.0411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8"/>
              </w:rPr>
              <w:t>Statistically Significant: System B accuracy is significantly lower than System A.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005A9C"/>
          <w:sz w:val="24"/>
        </w:rPr>
        <w:t>6.2 Asymmetric Regulatory Risk Modeling &amp; Two-Tier Routing Cascade</w:t>
      </w:r>
    </w:p>
    <w:p>
      <w:r>
        <w:t>In institutional finance, the liability of delivering a false disclosure figure far exceeds token compute costs. We evaluated an asymmetric economic loss function: Loss = Cost_compute + (1 - Accuracy) * Penalty, setting a normalized sensitivity penalty of $1.00 per incorrect disclosure. Because System C v1 achieves 89.66% accuracy, it incurs the lowest expected loss ($0.2413), followed closely by System C v2 ($0.2968). System B incurs nearly double the loss ($0.4745) due to high error rates on complex financial questions.</w:t>
      </w:r>
    </w:p>
    <w:p>
      <w:r>
        <w:t>To achieve an optimal production operational trade-off, we simulated an automated Two-Tier Economic Cascade: incoming queries are dispatched to the fast, inexpensive baseline (System A, $0.0004/query). If ambiguity is detected, the query escalates to System C v2. On the 97-question benchmark, this cascade achieved: Escalation Rate = 47.42%, Blended Accuracy = 76.29%, Blended Mean Latency = 15.45 seconds, and Blended Cost = $19.91 per 1,000 queries, cutting System C v2 operational expenditure by 49.1% while maintaining high accuracy.</w:t>
      </w:r>
    </w:p>
    <w:p>
      <w:pPr>
        <w:keepNext/>
        <w:spacing w:before="320" w:after="120"/>
      </w:pPr>
      <w:r>
        <w:rPr>
          <w:b/>
          <w:color w:val="1B365D"/>
          <w:sz w:val="28"/>
        </w:rPr>
        <w:t>7. Qualitative Analysis: Grounded Benchmark Case Studies</w:t>
      </w:r>
    </w:p>
    <w:p>
      <w:r>
        <w:t>To satisfy the course requirement for rigorous qualitative analysis alongside quantitative metrics, we examine three representative queries from the 97-question benchmark demonstrating the exact failure and success modes across the architectures:</w:t>
      </w:r>
    </w:p>
    <w:p>
      <w:r>
        <w:t>Case Study 1: Keyword Specificity Overcoming Semantic Collapse (gold-022)</w:t>
        <w:br/>
        <w:t>• Question: According to Microsoft's fiscal year 2019 10-K, what valuation methodology does the company use for its Level 3 investments?</w:t>
        <w:br/>
        <w:t>• Ground Truth: Microsoft values its Level 3 investments using internally-developed models with unobservable inputs.</w:t>
        <w:br/>
        <w:t>• System A (Dense Baseline): FAILED ('Not found in the provided context'). Dense embeddings prioritized general investment narrative chunks, pushing the specific footnote out of the top-k context.</w:t>
        <w:br/>
        <w:t>• System B (Hybrid + Rerank): PASSED ('Microsoft states that its Level 3 investments are valued using internally developed models with unobservable inputs...'). Sparse BM25 locked onto the exact phrase 'Level 3' and the reranker promoted it to rank 1.</w:t>
        <w:br/>
        <w:t>• System C (v1 &amp; v2): PASSED in 1 hop with verified citation: [MSFT FY2019, Item 7, MSFT_FY2019_2019-06-30:222].</w:t>
      </w:r>
    </w:p>
    <w:p>
      <w:r>
        <w:t>Case Study 2: Cross-Year Multi-Hop Bridging (gold-071)</w:t>
        <w:br/>
        <w:t>• Question: By how much did Microsoft's operating income increase in fiscal year 2019 compared to fiscal year 2016 (in millions)?</w:t>
        <w:br/>
        <w:t>• Ground Truth: $22,777 million ($42,959M in FY19 - $20,182M in FY16).</w:t>
        <w:br/>
        <w:t>• System A &amp; B: FAILED ('Not found in the provided context'). Single-pass retrieval on the FY2019 filing only fetched FY2019 and FY2018 chunks, leaving both systems blind to the FY2016 base period.</w:t>
        <w:br/>
        <w:t>• System C v1: PASSED after 3 hops (21.6 seconds, $0.062). Hop 1 identified missing FY2016 figures; the generator formulated a Hop 2 sub-query targeting FY2016 Item 8, successfully retrieving the base figure and synthesizing the correct difference.</w:t>
        <w:br/>
        <w:t>• System C v2: PASSED in 1 hop (7.5 seconds, $0.025). Resolved instantly via pre-retrieval XBRL tables ([F-MSFT-2019] [F-MSFT-2016]), demonstrating a 65% latency reduction.</w:t>
      </w:r>
    </w:p>
    <w:p>
      <w:r>
        <w:t>Case Study 3: Overcoming the 10-K Balance Sheet Lookback Barrier (gold-066)</w:t>
        <w:br/>
        <w:t>• Question: By how many million dollars did Tesla's total assets increase from fiscal year 2021 to fiscal year 2025?</w:t>
        <w:br/>
        <w:t>• Ground Truth: $75,675 million ($137,806M in FY25 - $62,131M in FY21).</w:t>
        <w:br/>
        <w:t>• System B: FAILED ('Not found in the provided context').</w:t>
        <w:br/>
        <w:t>• System C v1: FAILED after 3 hops (22.1 seconds). Concluded: 'The filing does not disclose Tesla’s total assets for fiscal year 2021 in the provided evidence...' because Tesla's FY2025 10-K balance sheet only carries comparative data back 2 years (to FY2023).</w:t>
        <w:br/>
        <w:t>• System C v2: PASSED in 1 hop (8.4 seconds, $0.027). The tabular tool queried the continuous structured XBRL time-series, which maintains the full financial history spanning all years, extracting both figures instantly ([F-TSLA-2021] [F-TSLA-2025]).</w:t>
      </w:r>
    </w:p>
    <w:p>
      <w:pPr>
        <w:keepNext/>
        <w:spacing w:before="320" w:after="120"/>
      </w:pPr>
      <w:r>
        <w:rPr>
          <w:b/>
          <w:color w:val="1B365D"/>
          <w:sz w:val="28"/>
        </w:rPr>
        <w:t>8. Limitations &amp; Concrete Directions for Future Work</w:t>
      </w:r>
    </w:p>
    <w:p>
      <w:r>
        <w:t>1. Table-Aware Reranker Training: Off-the-shelf cross-encoders (e.g. bge-reranker-base) fail on dense financial tables because they are pre-trained on narrative prose. Future work should fine-tune rerankers on synthetic table-text pairs (e.g. FinQA/TAT-QA) to prevent table demotion.</w:t>
        <w:br/>
        <w:t>2. Granularity-Aware Sufficiency Critic: To eliminate System C v2's premature stopping on deep footnote queries, the Critic's reflection prompt should verify whether the question requires sub-schedule footnote details before treating macro XBRL tables as sufficient.</w:t>
        <w:br/>
        <w:t>3. Multi-Modal Native Retrieval (ColPali): Multi-column financial schedules often lose spatial alignment during markdown serialization. Integrating Vision-Language Retrieval (e.g., ColPali) directly over PDF page images represents a promising frontier for complex balance sheets.</w:t>
      </w:r>
    </w:p>
    <w:p>
      <w:pPr>
        <w:keepNext/>
        <w:spacing w:before="320" w:after="120"/>
      </w:pPr>
      <w:r>
        <w:rPr>
          <w:b/>
          <w:color w:val="1B365D"/>
          <w:sz w:val="28"/>
        </w:rPr>
        <w:t>9. Reproducibility &amp; Docker Quickstart Appendix</w:t>
      </w:r>
    </w:p>
    <w:p>
      <w:r>
        <w:t>All code, configuration files, benchmark datasets, and evaluation harnesses are fully reproducible via Docker:</w:t>
        <w:br/>
        <w:t>• Repository Path: /Users/anishdobz/projects/cs614_group8</w:t>
        <w:br/>
        <w:t>• Docker Runner: docker compose run --rm runner</w:t>
        <w:br/>
        <w:t>• System C Test Suite: docker compose run --rm system-c pytest tests/test_system_c.py -v</w:t>
        <w:br/>
        <w:t>• Telemetry Records: reports/rq3/records.jsonl (388 total evaluated queries)</w:t>
        <w:br/>
        <w:t>• Precomputed Summary Metrics: reports/rq3/summary_metrics.json &amp; summary_metrics.csv</w:t>
        <w:br/>
        <w:t>• Hardware Environment: Apple Silicon M-series (macOS Darwin), Python 3.13, PyTest 8.3, LangGraph 0.2.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