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Georgia" w:hAnsi="Georgia"/>
          <w:b/>
          <w:color w:val="184C78"/>
          <w:sz w:val="44"/>
        </w:rPr>
        <w:t>CS614 Gen AI with LLMs — Project Proposal (v1.1)</w:t>
      </w:r>
    </w:p>
    <w:p>
      <w:pPr>
        <w:spacing w:before="0" w:after="320"/>
        <w:jc w:val="center"/>
      </w:pPr>
      <w:r>
        <w:rPr>
          <w:rFonts w:ascii="Calibri" w:hAnsi="Calibri"/>
          <w:i/>
          <w:color w:val="4682B4"/>
          <w:sz w:val="23"/>
        </w:rPr>
        <w:t>Adaptive Multi-Hop RAG for Complex SEC 10-K Financial Disclosures</w:t>
        <w:br/>
        <w:t>Empirical Comparative Study, Benchmarking Matrix, Verified Data Sources &amp; Presentation Guide</w:t>
        <w:br/>
        <w:t>Version: 1.1 | Date: October 11, 2026</w:t>
      </w:r>
    </w:p>
    <w:p>
      <w:pPr>
        <w:keepNext/>
        <w:spacing w:before="320" w:after="120"/>
      </w:pPr>
      <w:r>
        <w:rPr>
          <w:rFonts w:ascii="Georgia" w:hAnsi="Georgia"/>
          <w:b/>
          <w:color w:val="184C78"/>
          <w:sz w:val="28"/>
        </w:rPr>
        <w:t>1. Project Scope &amp; Executive Summary</w:t>
      </w:r>
    </w:p>
    <w:p>
      <w:pPr>
        <w:pStyle w:val="ListBullet"/>
        <w:spacing w:before="40" w:after="40" w:line="276" w:lineRule="auto"/>
      </w:pPr>
      <w:r>
        <w:rPr>
          <w:b/>
          <w:color w:val="1E1E1E"/>
        </w:rPr>
        <w:t xml:space="preserve">Project Title: </w:t>
      </w:r>
      <w:r>
        <w:rPr>
          <w:color w:val="323232"/>
        </w:rPr>
        <w:t>Adaptive Multi-Hop RAG: Iterative Evidence Retrieval and Verification over Complex SEC 10-K Financial Disclosures</w:t>
      </w:r>
    </w:p>
    <w:p>
      <w:pPr>
        <w:pStyle w:val="ListBullet"/>
        <w:spacing w:before="40" w:after="40" w:line="276" w:lineRule="auto"/>
      </w:pPr>
      <w:r>
        <w:rPr>
          <w:b/>
          <w:color w:val="1E1E1E"/>
        </w:rPr>
        <w:t xml:space="preserve">Official Archetype: </w:t>
      </w:r>
      <w:r>
        <w:rPr>
          <w:color w:val="323232"/>
        </w:rPr>
        <w:t>Study-Type Project (Empirical Comparative Study of RAG Architectures with Working Pipeline)</w:t>
      </w:r>
    </w:p>
    <w:p>
      <w:pPr>
        <w:pStyle w:val="ListBullet"/>
        <w:spacing w:before="40" w:after="40" w:line="276" w:lineRule="auto"/>
      </w:pPr>
      <w:r>
        <w:rPr>
          <w:b/>
          <w:color w:val="1E1E1E"/>
        </w:rPr>
        <w:t xml:space="preserve">Target Domain &amp; Problem: </w:t>
      </w:r>
      <w:r>
        <w:rPr>
          <w:color w:val="323232"/>
        </w:rPr>
        <w:t>Complex financial question answering over SEC 10-K annual reports; specifically resolving cross-statement and cross-section multi-hop evidence dependencies where vanilla RAG fails.</w:t>
      </w:r>
    </w:p>
    <w:p>
      <w:pPr>
        <w:pStyle w:val="ListBullet"/>
        <w:spacing w:before="40" w:after="40" w:line="276" w:lineRule="auto"/>
      </w:pPr>
      <w:r>
        <w:rPr>
          <w:b/>
          <w:color w:val="1E1E1E"/>
        </w:rPr>
        <w:t xml:space="preserve">Target Beneficiaries &amp; Domain Justification: </w:t>
      </w:r>
      <w:r>
        <w:rPr>
          <w:color w:val="323232"/>
        </w:rPr>
        <w:t>Enterprise AI systems, financial research analysts, and regulatory compliance teams requiring verifiable, hallucination-free reasoning across complex disclosures.</w:t>
      </w:r>
    </w:p>
    <w:p>
      <w:pPr>
        <w:keepNext/>
        <w:spacing w:before="320" w:after="120"/>
      </w:pPr>
      <w:r>
        <w:rPr>
          <w:rFonts w:ascii="Georgia" w:hAnsi="Georgia"/>
          <w:b/>
          <w:color w:val="184C78"/>
          <w:sz w:val="28"/>
        </w:rPr>
        <w:t>2. Problem Definition: Normal (Single-Hop) vs. Multi-Hop RAG</w:t>
      </w:r>
    </w:p>
    <w:p>
      <w:pPr>
        <w:spacing w:line="276" w:lineRule="auto" w:after="80"/>
      </w:pPr>
      <w:r>
        <w:t>A critical distinction in modern information retrieval is the difference between single-hop and multi-hop reasoning:</w:t>
      </w:r>
    </w:p>
    <w:p>
      <w:pPr>
        <w:pStyle w:val="ListBullet"/>
        <w:spacing w:before="40" w:after="40" w:line="276" w:lineRule="auto"/>
      </w:pPr>
      <w:r>
        <w:rPr>
          <w:b/>
          <w:color w:val="1E1E1E"/>
        </w:rPr>
        <w:t xml:space="preserve">Normal (Single-Hop) RAG ('One Question → One Search'): </w:t>
      </w:r>
      <w:r>
        <w:rPr>
          <w:color w:val="323232"/>
        </w:rPr>
        <w:t>The answer is self-contained in a single document chunk (e.g., 'What was Apple’s 2024 revenue?'). The vector database matches the query directly against the income statement chunk. Single-pass retrieval works adequately here.</w:t>
      </w:r>
    </w:p>
    <w:p>
      <w:pPr>
        <w:pStyle w:val="ListBullet"/>
        <w:spacing w:before="40" w:after="40" w:line="276" w:lineRule="auto"/>
      </w:pPr>
      <w:r>
        <w:rPr>
          <w:b/>
          <w:color w:val="1E1E1E"/>
        </w:rPr>
        <w:t xml:space="preserve">Multi-Hop RAG ('A Chain of Clues → Progressive Searches'): </w:t>
      </w:r>
      <w:r>
        <w:rPr>
          <w:color w:val="323232"/>
        </w:rPr>
        <w:t>The final answer does NOT exist in any single section. Finding the final answer requires a sequential chain of evidence where Step 2 cannot be executed until Step 1 has extracted an intermediate premise.</w:t>
      </w:r>
    </w:p>
    <w:p>
      <w:pPr>
        <w:spacing w:before="100" w:after="120" w:line="276" w:lineRule="auto"/>
        <w:ind w:left="576" w:right="576"/>
      </w:pPr>
      <w:r>
        <w:rPr>
          <w:i/>
          <w:color w:val="282850"/>
        </w:rPr>
        <w:t>“Concrete Financial Multi-Hop Example: 'In Apple’s 2024 10-K, did the gross margin expansion in the Services segment offset the foreign exchange headwinds in Item 7A, and what derivative contracts were used to hedge that risk?'</w:t>
        <w:br/>
        <w:t>• Hop 1 (MD&amp;A Segment Table): Extracts Services gross margin expansion (+340 bps / +$6.3B).</w:t>
        <w:br/>
        <w:t>• Hop 2 (Item 7A Market Risk): Uses Hop 1 findings to search foreign exchange headwinds (-$3.1B / -60 bps drag).</w:t>
        <w:br/>
        <w:t>• Hop 3 (Note 3 Derivatives Footnote): Retrieves exact hedging contracts (foreign currency forward and option contracts).</w:t>
        <w:br/>
        <w:t>• Synthesis Node: Connects all 3 hops into a grounded, mathematically verified answer.”</w:t>
      </w:r>
    </w:p>
    <w:p>
      <w:pPr>
        <w:keepNext/>
        <w:spacing w:before="320" w:after="120"/>
      </w:pPr>
      <w:r>
        <w:rPr>
          <w:rFonts w:ascii="Georgia" w:hAnsi="Georgia"/>
          <w:b/>
          <w:color w:val="184C78"/>
          <w:sz w:val="28"/>
        </w:rPr>
        <w:t>3. System Architecture &amp; Novelty Justification</w:t>
      </w:r>
    </w:p>
    <w:p>
      <w:pPr>
        <w:keepNext/>
        <w:spacing w:before="240" w:after="80"/>
      </w:pPr>
      <w:r>
        <w:rPr>
          <w:rFonts w:ascii="Georgia" w:hAnsi="Georgia"/>
          <w:b/>
          <w:color w:val="4682B4"/>
          <w:sz w:val="24"/>
        </w:rPr>
        <w:t>Is this an existing RAG pattern or our own proposal?</w:t>
      </w:r>
    </w:p>
    <w:p>
      <w:pPr>
        <w:pStyle w:val="ListBullet"/>
        <w:spacing w:before="40" w:after="40" w:line="276" w:lineRule="auto"/>
      </w:pPr>
      <w:r>
        <w:rPr>
          <w:b/>
          <w:color w:val="1E1E1E"/>
        </w:rPr>
        <w:t xml:space="preserve">Academic Foundations: </w:t>
      </w:r>
      <w:r>
        <w:rPr>
          <w:color w:val="323232"/>
        </w:rPr>
        <w:t>Builds on peer-reviewed research paradigms: Self-RAG (Akari et al., 2023), Iter-RetGen / FLARE (Jiang et al., 2023), and DSPy Multi-Hop Query Decomposition (Khattab et al., 2023).</w:t>
      </w:r>
    </w:p>
    <w:p>
      <w:pPr>
        <w:pStyle w:val="ListBullet"/>
        <w:spacing w:before="40" w:after="40" w:line="276" w:lineRule="auto"/>
      </w:pPr>
      <w:r>
        <w:rPr>
          <w:b/>
          <w:color w:val="1E1E1E"/>
        </w:rPr>
        <w:t xml:space="preserve">Our Custom Engineering Contribution (Why it’s our project): </w:t>
      </w:r>
      <w:r>
        <w:rPr>
          <w:color w:val="323232"/>
        </w:rPr>
        <w:t>Off-the-shelf multi-hop RAG fails in finance because financial documents have rigid tabular structures and complex footnote cross-references. Our custom implementation introduces:</w:t>
        <w:br/>
        <w:t>1. Financial-Aware State Routing: Conditions subsequent hops on extracted accounting entities and footnote indices rather than generic text summarization.</w:t>
        <w:br/>
        <w:t>2. Bounded Early-Stopping Sufficiency Critic: Built in LangGraph, this critic halts retrieval at Hop 1 for simple queries to save cost, while capping complex queries at max_hops = 3 to prevent infinite recursive loops.</w:t>
        <w:br/>
        <w:t>3. Tabular Structural Preservation: Ingestion pipeline that converts SEC HTML tables into structured Markdown/JSON so row/column dependencies remain intact.</w:t>
      </w:r>
    </w:p>
    <w:p>
      <w:pPr>
        <w:keepNext/>
        <w:spacing w:before="320" w:after="120"/>
      </w:pPr>
      <w:r>
        <w:rPr>
          <w:rFonts w:ascii="Georgia" w:hAnsi="Georgia"/>
          <w:b/>
          <w:color w:val="184C78"/>
          <w:sz w:val="28"/>
        </w:rPr>
        <w:t>4. Mandatory Comparative Analysis (The 3 Systems)</w:t>
      </w:r>
    </w:p>
    <w:p>
      <w:pPr>
        <w:spacing w:line="276" w:lineRule="auto" w:after="80"/>
      </w:pPr>
      <w:r>
        <w:t>To exceed the course rubric requirement of comparing at least two meaningful alternatives, the team will benchmark three distinct architectural tiers: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val="clear" w:color="auto" w:fill="184C78"/>
            <w:tcMar>
              <w:top w:w="110" w:type="dxa"/>
              <w:bottom w:w="110" w:type="dxa"/>
              <w:left w:w="130" w:type="dxa"/>
              <w:right w:w="130" w:type="dxa"/>
            </w:tcMar>
          </w:tcPr>
          <w:p>
            <w:r>
              <w:rPr>
                <w:b/>
                <w:color w:val="FFFFFF"/>
                <w:sz w:val="19"/>
              </w:rPr>
              <w:t>Dimension</w:t>
            </w:r>
          </w:p>
        </w:tc>
        <w:tc>
          <w:tcPr>
            <w:tcW w:type="dxa" w:w="2448"/>
            <w:shd w:val="clear" w:color="auto" w:fill="184C78"/>
            <w:tcMar>
              <w:top w:w="110" w:type="dxa"/>
              <w:bottom w:w="110" w:type="dxa"/>
              <w:left w:w="130" w:type="dxa"/>
              <w:right w:w="130" w:type="dxa"/>
            </w:tcMar>
          </w:tcPr>
          <w:p>
            <w:r>
              <w:rPr>
                <w:b/>
                <w:color w:val="FFFFFF"/>
                <w:sz w:val="19"/>
              </w:rPr>
              <w:t>System A (Naive Baseline)</w:t>
            </w:r>
          </w:p>
        </w:tc>
        <w:tc>
          <w:tcPr>
            <w:tcW w:type="dxa" w:w="2448"/>
            <w:shd w:val="clear" w:color="auto" w:fill="184C78"/>
            <w:tcMar>
              <w:top w:w="110" w:type="dxa"/>
              <w:bottom w:w="110" w:type="dxa"/>
              <w:left w:w="130" w:type="dxa"/>
              <w:right w:w="130" w:type="dxa"/>
            </w:tcMar>
          </w:tcPr>
          <w:p>
            <w:r>
              <w:rPr>
                <w:b/>
                <w:color w:val="FFFFFF"/>
                <w:sz w:val="19"/>
              </w:rPr>
              <w:t>System B (Advanced Single-Pass)</w:t>
            </w:r>
          </w:p>
        </w:tc>
        <w:tc>
          <w:tcPr>
            <w:tcW w:type="dxa" w:w="2592"/>
            <w:shd w:val="clear" w:color="auto" w:fill="184C78"/>
            <w:tcMar>
              <w:top w:w="110" w:type="dxa"/>
              <w:bottom w:w="110" w:type="dxa"/>
              <w:left w:w="130" w:type="dxa"/>
              <w:right w:w="130" w:type="dxa"/>
            </w:tcMar>
          </w:tcPr>
          <w:p>
            <w:r>
              <w:rPr>
                <w:b/>
                <w:color w:val="FFFFFF"/>
                <w:sz w:val="19"/>
              </w:rPr>
              <w:t>System C (Proposed Adaptive Multi-Hop)</w:t>
            </w:r>
          </w:p>
        </w:tc>
      </w:tr>
      <w:tr>
        <w:tc>
          <w:tcPr>
            <w:tcW w:type="dxa" w:w="1872"/>
            <w:shd w:val="clear" w:color="auto" w:fill="FFFFFF"/>
            <w:tcMar>
              <w:top w:w="80" w:type="dxa"/>
              <w:bottom w:w="80" w:type="dxa"/>
              <w:left w:w="130" w:type="dxa"/>
              <w:right w:w="130" w:type="dxa"/>
            </w:tcMar>
          </w:tcPr>
          <w:p>
            <w:pPr>
              <w:spacing w:line="276" w:lineRule="auto"/>
            </w:pPr>
            <w:r>
              <w:rPr>
                <w:color w:val="323232"/>
                <w:sz w:val="18"/>
              </w:rPr>
              <w:t>Retrieval Architecture</w:t>
            </w:r>
          </w:p>
        </w:tc>
        <w:tc>
          <w:tcPr>
            <w:tcW w:type="dxa" w:w="2448"/>
            <w:shd w:val="clear" w:color="auto" w:fill="FFFFFF"/>
            <w:tcMar>
              <w:top w:w="80" w:type="dxa"/>
              <w:bottom w:w="80" w:type="dxa"/>
              <w:left w:w="130" w:type="dxa"/>
              <w:right w:w="130" w:type="dxa"/>
            </w:tcMar>
          </w:tcPr>
          <w:p>
            <w:pPr>
              <w:spacing w:line="276" w:lineRule="auto"/>
            </w:pPr>
            <w:r>
              <w:rPr>
                <w:color w:val="323232"/>
                <w:sz w:val="18"/>
              </w:rPr>
              <w:t>Naive single-pass dense embedding (Top-k=5)</w:t>
            </w:r>
          </w:p>
        </w:tc>
        <w:tc>
          <w:tcPr>
            <w:tcW w:type="dxa" w:w="2448"/>
            <w:shd w:val="clear" w:color="auto" w:fill="FFFFFF"/>
            <w:tcMar>
              <w:top w:w="80" w:type="dxa"/>
              <w:bottom w:w="80" w:type="dxa"/>
              <w:left w:w="130" w:type="dxa"/>
              <w:right w:w="130" w:type="dxa"/>
            </w:tcMar>
          </w:tcPr>
          <w:p>
            <w:pPr>
              <w:spacing w:line="276" w:lineRule="auto"/>
            </w:pPr>
            <w:r>
              <w:rPr>
                <w:color w:val="323232"/>
                <w:sz w:val="18"/>
              </w:rPr>
              <w:t>Hybrid retrieval (Dense BGE-m3 + Sparse BM25) + Cross-Encoder Reranker (Top-k=5)</w:t>
            </w:r>
          </w:p>
        </w:tc>
        <w:tc>
          <w:tcPr>
            <w:tcW w:type="dxa" w:w="2592"/>
            <w:shd w:val="clear" w:color="auto" w:fill="FFFFFF"/>
            <w:tcMar>
              <w:top w:w="80" w:type="dxa"/>
              <w:bottom w:w="80" w:type="dxa"/>
              <w:left w:w="130" w:type="dxa"/>
              <w:right w:w="130" w:type="dxa"/>
            </w:tcMar>
          </w:tcPr>
          <w:p>
            <w:pPr>
              <w:spacing w:line="276" w:lineRule="auto"/>
            </w:pPr>
            <w:r>
              <w:rPr>
                <w:color w:val="323232"/>
                <w:sz w:val="18"/>
              </w:rPr>
              <w:t>Adaptive Multi-Hop (Decomposition + Hybrid + Reranker + Evidence Sufficiency State Loop)</w:t>
            </w:r>
          </w:p>
        </w:tc>
      </w:tr>
      <w:tr>
        <w:tc>
          <w:tcPr>
            <w:tcW w:type="dxa" w:w="1872"/>
            <w:shd w:val="clear" w:color="auto" w:fill="F9FAFB"/>
            <w:tcMar>
              <w:top w:w="80" w:type="dxa"/>
              <w:bottom w:w="80" w:type="dxa"/>
              <w:left w:w="130" w:type="dxa"/>
              <w:right w:w="130" w:type="dxa"/>
            </w:tcMar>
          </w:tcPr>
          <w:p>
            <w:pPr>
              <w:spacing w:line="276" w:lineRule="auto"/>
            </w:pPr>
            <w:r>
              <w:rPr>
                <w:color w:val="323232"/>
                <w:sz w:val="18"/>
              </w:rPr>
              <w:t>Multi-Hop Handling</w:t>
            </w:r>
          </w:p>
        </w:tc>
        <w:tc>
          <w:tcPr>
            <w:tcW w:type="dxa" w:w="2448"/>
            <w:shd w:val="clear" w:color="auto" w:fill="F9FAFB"/>
            <w:tcMar>
              <w:top w:w="80" w:type="dxa"/>
              <w:bottom w:w="80" w:type="dxa"/>
              <w:left w:w="130" w:type="dxa"/>
              <w:right w:w="130" w:type="dxa"/>
            </w:tcMar>
          </w:tcPr>
          <w:p>
            <w:pPr>
              <w:spacing w:line="276" w:lineRule="auto"/>
            </w:pPr>
            <w:r>
              <w:rPr>
                <w:color w:val="323232"/>
                <w:sz w:val="18"/>
              </w:rPr>
              <w:t>None (One-shot retrieval against original query)</w:t>
            </w:r>
          </w:p>
        </w:tc>
        <w:tc>
          <w:tcPr>
            <w:tcW w:type="dxa" w:w="2448"/>
            <w:shd w:val="clear" w:color="auto" w:fill="F9FAFB"/>
            <w:tcMar>
              <w:top w:w="80" w:type="dxa"/>
              <w:bottom w:w="80" w:type="dxa"/>
              <w:left w:w="130" w:type="dxa"/>
              <w:right w:w="130" w:type="dxa"/>
            </w:tcMar>
          </w:tcPr>
          <w:p>
            <w:pPr>
              <w:spacing w:line="276" w:lineRule="auto"/>
            </w:pPr>
            <w:r>
              <w:rPr>
                <w:color w:val="323232"/>
                <w:sz w:val="18"/>
              </w:rPr>
              <w:t>None (One-shot retrieval with expanded context window)</w:t>
            </w:r>
          </w:p>
        </w:tc>
        <w:tc>
          <w:tcPr>
            <w:tcW w:type="dxa" w:w="2592"/>
            <w:shd w:val="clear" w:color="auto" w:fill="F9FAFB"/>
            <w:tcMar>
              <w:top w:w="80" w:type="dxa"/>
              <w:bottom w:w="80" w:type="dxa"/>
              <w:left w:w="130" w:type="dxa"/>
              <w:right w:w="130" w:type="dxa"/>
            </w:tcMar>
          </w:tcPr>
          <w:p>
            <w:pPr>
              <w:spacing w:line="276" w:lineRule="auto"/>
            </w:pPr>
            <w:r>
              <w:rPr>
                <w:color w:val="323232"/>
                <w:sz w:val="18"/>
              </w:rPr>
              <w:t>Iterative graph-based loop conditioned on Hop 1 findings (bounded by max_hops = 3)</w:t>
            </w:r>
          </w:p>
        </w:tc>
      </w:tr>
      <w:tr>
        <w:tc>
          <w:tcPr>
            <w:tcW w:type="dxa" w:w="1872"/>
            <w:shd w:val="clear" w:color="auto" w:fill="FFFFFF"/>
            <w:tcMar>
              <w:top w:w="80" w:type="dxa"/>
              <w:bottom w:w="80" w:type="dxa"/>
              <w:left w:w="130" w:type="dxa"/>
              <w:right w:w="130" w:type="dxa"/>
            </w:tcMar>
          </w:tcPr>
          <w:p>
            <w:pPr>
              <w:spacing w:line="276" w:lineRule="auto"/>
            </w:pPr>
            <w:r>
              <w:rPr>
                <w:color w:val="323232"/>
                <w:sz w:val="18"/>
              </w:rPr>
              <w:t>Reasoning Engine</w:t>
            </w:r>
          </w:p>
        </w:tc>
        <w:tc>
          <w:tcPr>
            <w:tcW w:type="dxa" w:w="2448"/>
            <w:shd w:val="clear" w:color="auto" w:fill="FFFFFF"/>
            <w:tcMar>
              <w:top w:w="80" w:type="dxa"/>
              <w:bottom w:w="80" w:type="dxa"/>
              <w:left w:w="130" w:type="dxa"/>
              <w:right w:w="130" w:type="dxa"/>
            </w:tcMar>
          </w:tcPr>
          <w:p>
            <w:pPr>
              <w:spacing w:line="276" w:lineRule="auto"/>
            </w:pPr>
            <w:r>
              <w:rPr>
                <w:color w:val="323232"/>
                <w:sz w:val="18"/>
              </w:rPr>
              <w:t>Direct zero-shot generation (Llama-3-8B / GPT-4o-mini)</w:t>
            </w:r>
          </w:p>
        </w:tc>
        <w:tc>
          <w:tcPr>
            <w:tcW w:type="dxa" w:w="2448"/>
            <w:shd w:val="clear" w:color="auto" w:fill="FFFFFF"/>
            <w:tcMar>
              <w:top w:w="80" w:type="dxa"/>
              <w:bottom w:w="80" w:type="dxa"/>
              <w:left w:w="130" w:type="dxa"/>
              <w:right w:w="130" w:type="dxa"/>
            </w:tcMar>
          </w:tcPr>
          <w:p>
            <w:pPr>
              <w:spacing w:line="276" w:lineRule="auto"/>
            </w:pPr>
            <w:r>
              <w:rPr>
                <w:color w:val="323232"/>
                <w:sz w:val="18"/>
              </w:rPr>
              <w:t>Direct generation with reranked context</w:t>
            </w:r>
          </w:p>
        </w:tc>
        <w:tc>
          <w:tcPr>
            <w:tcW w:type="dxa" w:w="2592"/>
            <w:shd w:val="clear" w:color="auto" w:fill="FFFFFF"/>
            <w:tcMar>
              <w:top w:w="80" w:type="dxa"/>
              <w:bottom w:w="80" w:type="dxa"/>
              <w:left w:w="130" w:type="dxa"/>
              <w:right w:w="130" w:type="dxa"/>
            </w:tcMar>
          </w:tcPr>
          <w:p>
            <w:pPr>
              <w:spacing w:line="276" w:lineRule="auto"/>
            </w:pPr>
            <w:r>
              <w:rPr>
                <w:color w:val="323232"/>
                <w:sz w:val="18"/>
              </w:rPr>
              <w:t>Multi-stage graph routing (Planner -&gt; Retriever -&gt; Critic -&gt; Synthesizer)</w:t>
            </w:r>
          </w:p>
        </w:tc>
      </w:tr>
      <w:tr>
        <w:tc>
          <w:tcPr>
            <w:tcW w:type="dxa" w:w="1872"/>
            <w:shd w:val="clear" w:color="auto" w:fill="F9FAFB"/>
            <w:tcMar>
              <w:top w:w="80" w:type="dxa"/>
              <w:bottom w:w="80" w:type="dxa"/>
              <w:left w:w="130" w:type="dxa"/>
              <w:right w:w="130" w:type="dxa"/>
            </w:tcMar>
          </w:tcPr>
          <w:p>
            <w:pPr>
              <w:spacing w:line="276" w:lineRule="auto"/>
            </w:pPr>
            <w:r>
              <w:rPr>
                <w:color w:val="323232"/>
                <w:sz w:val="18"/>
              </w:rPr>
              <w:t>Trade-offs Measured</w:t>
            </w:r>
          </w:p>
        </w:tc>
        <w:tc>
          <w:tcPr>
            <w:tcW w:type="dxa" w:w="2448"/>
            <w:shd w:val="clear" w:color="auto" w:fill="F9FAFB"/>
            <w:tcMar>
              <w:top w:w="80" w:type="dxa"/>
              <w:bottom w:w="80" w:type="dxa"/>
              <w:left w:w="130" w:type="dxa"/>
              <w:right w:w="130" w:type="dxa"/>
            </w:tcMar>
          </w:tcPr>
          <w:p>
            <w:pPr>
              <w:spacing w:line="276" w:lineRule="auto"/>
            </w:pPr>
            <w:r>
              <w:rPr>
                <w:color w:val="323232"/>
                <w:sz w:val="18"/>
              </w:rPr>
              <w:t>Fastest latency (~1.5s), lowest cost (~$1.50/1k), high hallucination rate, low multi-hop recall</w:t>
            </w:r>
          </w:p>
        </w:tc>
        <w:tc>
          <w:tcPr>
            <w:tcW w:type="dxa" w:w="2448"/>
            <w:shd w:val="clear" w:color="auto" w:fill="F9FAFB"/>
            <w:tcMar>
              <w:top w:w="80" w:type="dxa"/>
              <w:bottom w:w="80" w:type="dxa"/>
              <w:left w:w="130" w:type="dxa"/>
              <w:right w:w="130" w:type="dxa"/>
            </w:tcMar>
          </w:tcPr>
          <w:p>
            <w:pPr>
              <w:spacing w:line="276" w:lineRule="auto"/>
            </w:pPr>
            <w:r>
              <w:rPr>
                <w:color w:val="323232"/>
                <w:sz w:val="18"/>
              </w:rPr>
              <w:t>Moderate latency (~3.5s), moderate cost (~$2.80/1k), strong single-hop retrieval, fails on dependent multi-hop queries</w:t>
            </w:r>
          </w:p>
        </w:tc>
        <w:tc>
          <w:tcPr>
            <w:tcW w:type="dxa" w:w="2592"/>
            <w:shd w:val="clear" w:color="auto" w:fill="F9FAFB"/>
            <w:tcMar>
              <w:top w:w="80" w:type="dxa"/>
              <w:bottom w:w="80" w:type="dxa"/>
              <w:left w:w="130" w:type="dxa"/>
              <w:right w:w="130" w:type="dxa"/>
            </w:tcMar>
          </w:tcPr>
          <w:p>
            <w:pPr>
              <w:spacing w:line="276" w:lineRule="auto"/>
            </w:pPr>
            <w:r>
              <w:rPr>
                <w:color w:val="323232"/>
                <w:sz w:val="18"/>
              </w:rPr>
              <w:t>Higher latency (~7.0s), higher cost (~$6.50/1k), superior evidence recall (85-95%), high faithfulness (0.92+)</w:t>
            </w:r>
          </w:p>
        </w:tc>
      </w:tr>
    </w:tbl>
    <w:p>
      <w:pPr>
        <w:spacing w:after="120"/>
      </w:pPr>
    </w:p>
    <w:p>
      <w:pPr>
        <w:keepNext/>
        <w:spacing w:before="320" w:after="120"/>
      </w:pPr>
      <w:r>
        <w:rPr>
          <w:rFonts w:ascii="Georgia" w:hAnsi="Georgia"/>
          <w:b/>
          <w:color w:val="184C78"/>
          <w:sz w:val="28"/>
        </w:rPr>
        <w:t>5. Benchmarking Metrics Matrix &amp; Expected Outcomes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val="clear" w:color="auto" w:fill="184C78"/>
            <w:tcMar>
              <w:top w:w="110" w:type="dxa"/>
              <w:bottom w:w="110" w:type="dxa"/>
              <w:left w:w="130" w:type="dxa"/>
              <w:right w:w="130" w:type="dxa"/>
            </w:tcMar>
          </w:tcPr>
          <w:p>
            <w:r>
              <w:rPr>
                <w:b/>
                <w:color w:val="FFFFFF"/>
                <w:sz w:val="19"/>
              </w:rPr>
              <w:t>Evaluation Dimension</w:t>
            </w:r>
          </w:p>
        </w:tc>
        <w:tc>
          <w:tcPr>
            <w:tcW w:type="dxa" w:w="2304"/>
            <w:shd w:val="clear" w:color="auto" w:fill="184C78"/>
            <w:tcMar>
              <w:top w:w="110" w:type="dxa"/>
              <w:bottom w:w="110" w:type="dxa"/>
              <w:left w:w="130" w:type="dxa"/>
              <w:right w:w="130" w:type="dxa"/>
            </w:tcMar>
          </w:tcPr>
          <w:p>
            <w:r>
              <w:rPr>
                <w:b/>
                <w:color w:val="FFFFFF"/>
                <w:sz w:val="19"/>
              </w:rPr>
              <w:t>Metric Name</w:t>
            </w:r>
          </w:p>
        </w:tc>
        <w:tc>
          <w:tcPr>
            <w:tcW w:type="dxa" w:w="2304"/>
            <w:shd w:val="clear" w:color="auto" w:fill="184C78"/>
            <w:tcMar>
              <w:top w:w="110" w:type="dxa"/>
              <w:bottom w:w="110" w:type="dxa"/>
              <w:left w:w="130" w:type="dxa"/>
              <w:right w:w="130" w:type="dxa"/>
            </w:tcMar>
          </w:tcPr>
          <w:p>
            <w:r>
              <w:rPr>
                <w:b/>
                <w:color w:val="FFFFFF"/>
                <w:sz w:val="19"/>
              </w:rPr>
              <w:t>Measurement Tool / Method</w:t>
            </w:r>
          </w:p>
        </w:tc>
        <w:tc>
          <w:tcPr>
            <w:tcW w:type="dxa" w:w="2880"/>
            <w:shd w:val="clear" w:color="auto" w:fill="184C78"/>
            <w:tcMar>
              <w:top w:w="110" w:type="dxa"/>
              <w:bottom w:w="110" w:type="dxa"/>
              <w:left w:w="130" w:type="dxa"/>
              <w:right w:w="130" w:type="dxa"/>
            </w:tcMar>
          </w:tcPr>
          <w:p>
            <w:r>
              <w:rPr>
                <w:b/>
                <w:color w:val="FFFFFF"/>
                <w:sz w:val="19"/>
              </w:rPr>
              <w:t>What It Proves Across the 3 Systems</w:t>
            </w:r>
          </w:p>
        </w:tc>
      </w:tr>
      <w:tr>
        <w:tc>
          <w:tcPr>
            <w:tcW w:type="dxa" w:w="1872"/>
            <w:shd w:val="clear" w:color="auto" w:fill="FFFFFF"/>
            <w:tcMar>
              <w:top w:w="80" w:type="dxa"/>
              <w:bottom w:w="80" w:type="dxa"/>
              <w:left w:w="130" w:type="dxa"/>
              <w:right w:w="130" w:type="dxa"/>
            </w:tcMar>
          </w:tcPr>
          <w:p>
            <w:pPr>
              <w:spacing w:line="276" w:lineRule="auto"/>
            </w:pPr>
            <w:r>
              <w:rPr>
                <w:color w:val="323232"/>
                <w:sz w:val="18"/>
              </w:rPr>
              <w:t>Retrieval Quality (Upstream)</w:t>
            </w:r>
          </w:p>
        </w:tc>
        <w:tc>
          <w:tcPr>
            <w:tcW w:type="dxa" w:w="2304"/>
            <w:shd w:val="clear" w:color="auto" w:fill="FFFFFF"/>
            <w:tcMar>
              <w:top w:w="80" w:type="dxa"/>
              <w:bottom w:w="80" w:type="dxa"/>
              <w:left w:w="130" w:type="dxa"/>
              <w:right w:w="130" w:type="dxa"/>
            </w:tcMar>
          </w:tcPr>
          <w:p>
            <w:pPr>
              <w:spacing w:line="276" w:lineRule="auto"/>
            </w:pPr>
            <w:r>
              <w:rPr>
                <w:color w:val="323232"/>
                <w:sz w:val="18"/>
              </w:rPr>
              <w:t>Evidence Recall@k &amp; Multi-Hop Hop Recall</w:t>
            </w:r>
          </w:p>
        </w:tc>
        <w:tc>
          <w:tcPr>
            <w:tcW w:type="dxa" w:w="2304"/>
            <w:shd w:val="clear" w:color="auto" w:fill="FFFFFF"/>
            <w:tcMar>
              <w:top w:w="80" w:type="dxa"/>
              <w:bottom w:w="80" w:type="dxa"/>
              <w:left w:w="130" w:type="dxa"/>
              <w:right w:w="130" w:type="dxa"/>
            </w:tcMar>
          </w:tcPr>
          <w:p>
            <w:pPr>
              <w:spacing w:line="276" w:lineRule="auto"/>
            </w:pPr>
            <w:r>
              <w:rPr>
                <w:color w:val="323232"/>
                <w:sz w:val="18"/>
              </w:rPr>
              <w:t>Ground truth matching against FinQA / 10-K golden annotations</w:t>
            </w:r>
          </w:p>
        </w:tc>
        <w:tc>
          <w:tcPr>
            <w:tcW w:type="dxa" w:w="2880"/>
            <w:shd w:val="clear" w:color="auto" w:fill="FFFFFF"/>
            <w:tcMar>
              <w:top w:w="80" w:type="dxa"/>
              <w:bottom w:w="80" w:type="dxa"/>
              <w:left w:w="130" w:type="dxa"/>
              <w:right w:w="130" w:type="dxa"/>
            </w:tcMar>
          </w:tcPr>
          <w:p>
            <w:pPr>
              <w:spacing w:line="276" w:lineRule="auto"/>
            </w:pPr>
            <w:r>
              <w:rPr>
                <w:color w:val="323232"/>
                <w:sz w:val="18"/>
              </w:rPr>
              <w:t>Proves Sys C captures evidence spread across distant sections (Item 7 &amp; 8) where Sys A &amp; B suffer from zero-recall on hop 2.</w:t>
            </w:r>
          </w:p>
        </w:tc>
      </w:tr>
      <w:tr>
        <w:tc>
          <w:tcPr>
            <w:tcW w:type="dxa" w:w="1872"/>
            <w:shd w:val="clear" w:color="auto" w:fill="F9FAFB"/>
            <w:tcMar>
              <w:top w:w="80" w:type="dxa"/>
              <w:bottom w:w="80" w:type="dxa"/>
              <w:left w:w="130" w:type="dxa"/>
              <w:right w:w="130" w:type="dxa"/>
            </w:tcMar>
          </w:tcPr>
          <w:p>
            <w:pPr>
              <w:spacing w:line="276" w:lineRule="auto"/>
            </w:pPr>
            <w:r>
              <w:rPr>
                <w:color w:val="323232"/>
                <w:sz w:val="18"/>
              </w:rPr>
              <w:t>Retrieval Precision</w:t>
            </w:r>
          </w:p>
        </w:tc>
        <w:tc>
          <w:tcPr>
            <w:tcW w:type="dxa" w:w="2304"/>
            <w:shd w:val="clear" w:color="auto" w:fill="F9FAFB"/>
            <w:tcMar>
              <w:top w:w="80" w:type="dxa"/>
              <w:bottom w:w="80" w:type="dxa"/>
              <w:left w:w="130" w:type="dxa"/>
              <w:right w:w="130" w:type="dxa"/>
            </w:tcMar>
          </w:tcPr>
          <w:p>
            <w:pPr>
              <w:spacing w:line="276" w:lineRule="auto"/>
            </w:pPr>
            <w:r>
              <w:rPr>
                <w:color w:val="323232"/>
                <w:sz w:val="18"/>
              </w:rPr>
              <w:t>Context Precision (RAGAS)</w:t>
            </w:r>
          </w:p>
        </w:tc>
        <w:tc>
          <w:tcPr>
            <w:tcW w:type="dxa" w:w="2304"/>
            <w:shd w:val="clear" w:color="auto" w:fill="F9FAFB"/>
            <w:tcMar>
              <w:top w:w="80" w:type="dxa"/>
              <w:bottom w:w="80" w:type="dxa"/>
              <w:left w:w="130" w:type="dxa"/>
              <w:right w:w="130" w:type="dxa"/>
            </w:tcMar>
          </w:tcPr>
          <w:p>
            <w:pPr>
              <w:spacing w:line="276" w:lineRule="auto"/>
            </w:pPr>
            <w:r>
              <w:rPr>
                <w:color w:val="323232"/>
                <w:sz w:val="18"/>
              </w:rPr>
              <w:t>RAGAS Automated Evaluator</w:t>
            </w:r>
          </w:p>
        </w:tc>
        <w:tc>
          <w:tcPr>
            <w:tcW w:type="dxa" w:w="2880"/>
            <w:shd w:val="clear" w:color="auto" w:fill="F9FAFB"/>
            <w:tcMar>
              <w:top w:w="80" w:type="dxa"/>
              <w:bottom w:w="80" w:type="dxa"/>
              <w:left w:w="130" w:type="dxa"/>
              <w:right w:w="130" w:type="dxa"/>
            </w:tcMar>
          </w:tcPr>
          <w:p>
            <w:pPr>
              <w:spacing w:line="276" w:lineRule="auto"/>
            </w:pPr>
            <w:r>
              <w:rPr>
                <w:color w:val="323232"/>
                <w:sz w:val="18"/>
              </w:rPr>
              <w:t>Checks whether top chunks actually contain signal or mostly noise. Sys B &amp; C use rerankers to maximize signal density.</w:t>
            </w:r>
          </w:p>
        </w:tc>
      </w:tr>
      <w:tr>
        <w:tc>
          <w:tcPr>
            <w:tcW w:type="dxa" w:w="1872"/>
            <w:shd w:val="clear" w:color="auto" w:fill="FFFFFF"/>
            <w:tcMar>
              <w:top w:w="80" w:type="dxa"/>
              <w:bottom w:w="80" w:type="dxa"/>
              <w:left w:w="130" w:type="dxa"/>
              <w:right w:w="130" w:type="dxa"/>
            </w:tcMar>
          </w:tcPr>
          <w:p>
            <w:pPr>
              <w:spacing w:line="276" w:lineRule="auto"/>
            </w:pPr>
            <w:r>
              <w:rPr>
                <w:color w:val="323232"/>
                <w:sz w:val="18"/>
              </w:rPr>
              <w:t>Answer Grounding (Core Safety)</w:t>
            </w:r>
          </w:p>
        </w:tc>
        <w:tc>
          <w:tcPr>
            <w:tcW w:type="dxa" w:w="2304"/>
            <w:shd w:val="clear" w:color="auto" w:fill="FFFFFF"/>
            <w:tcMar>
              <w:top w:w="80" w:type="dxa"/>
              <w:bottom w:w="80" w:type="dxa"/>
              <w:left w:w="130" w:type="dxa"/>
              <w:right w:w="130" w:type="dxa"/>
            </w:tcMar>
          </w:tcPr>
          <w:p>
            <w:pPr>
              <w:spacing w:line="276" w:lineRule="auto"/>
            </w:pPr>
            <w:r>
              <w:rPr>
                <w:color w:val="323232"/>
                <w:sz w:val="18"/>
              </w:rPr>
              <w:t>Faithfulness / Hallucination Rate</w:t>
            </w:r>
          </w:p>
        </w:tc>
        <w:tc>
          <w:tcPr>
            <w:tcW w:type="dxa" w:w="2304"/>
            <w:shd w:val="clear" w:color="auto" w:fill="FFFFFF"/>
            <w:tcMar>
              <w:top w:w="80" w:type="dxa"/>
              <w:bottom w:w="80" w:type="dxa"/>
              <w:left w:w="130" w:type="dxa"/>
              <w:right w:w="130" w:type="dxa"/>
            </w:tcMar>
          </w:tcPr>
          <w:p>
            <w:pPr>
              <w:spacing w:line="276" w:lineRule="auto"/>
            </w:pPr>
            <w:r>
              <w:rPr>
                <w:color w:val="323232"/>
                <w:sz w:val="18"/>
              </w:rPr>
              <w:t>RAGAS Faithfulness &amp; LLM-as-a-Judge (GPT-4o rubric)</w:t>
            </w:r>
          </w:p>
        </w:tc>
        <w:tc>
          <w:tcPr>
            <w:tcW w:type="dxa" w:w="2880"/>
            <w:shd w:val="clear" w:color="auto" w:fill="FFFFFF"/>
            <w:tcMar>
              <w:top w:w="80" w:type="dxa"/>
              <w:bottom w:w="80" w:type="dxa"/>
              <w:left w:w="130" w:type="dxa"/>
              <w:right w:w="130" w:type="dxa"/>
            </w:tcMar>
          </w:tcPr>
          <w:p>
            <w:pPr>
              <w:spacing w:line="276" w:lineRule="auto"/>
            </w:pPr>
            <w:r>
              <w:rPr>
                <w:color w:val="323232"/>
                <w:sz w:val="18"/>
              </w:rPr>
              <w:t>Measures if generated numbers and statements come directly from retrieved text. In finance, hallucinated figures are fatal.</w:t>
            </w:r>
          </w:p>
        </w:tc>
      </w:tr>
      <w:tr>
        <w:tc>
          <w:tcPr>
            <w:tcW w:type="dxa" w:w="1872"/>
            <w:shd w:val="clear" w:color="auto" w:fill="F9FAFB"/>
            <w:tcMar>
              <w:top w:w="80" w:type="dxa"/>
              <w:bottom w:w="80" w:type="dxa"/>
              <w:left w:w="130" w:type="dxa"/>
              <w:right w:w="130" w:type="dxa"/>
            </w:tcMar>
          </w:tcPr>
          <w:p>
            <w:pPr>
              <w:spacing w:line="276" w:lineRule="auto"/>
            </w:pPr>
            <w:r>
              <w:rPr>
                <w:color w:val="323232"/>
                <w:sz w:val="18"/>
              </w:rPr>
              <w:t>Answer Completeness</w:t>
            </w:r>
          </w:p>
        </w:tc>
        <w:tc>
          <w:tcPr>
            <w:tcW w:type="dxa" w:w="2304"/>
            <w:shd w:val="clear" w:color="auto" w:fill="F9FAFB"/>
            <w:tcMar>
              <w:top w:w="80" w:type="dxa"/>
              <w:bottom w:w="80" w:type="dxa"/>
              <w:left w:w="130" w:type="dxa"/>
              <w:right w:w="130" w:type="dxa"/>
            </w:tcMar>
          </w:tcPr>
          <w:p>
            <w:pPr>
              <w:spacing w:line="276" w:lineRule="auto"/>
            </w:pPr>
            <w:r>
              <w:rPr>
                <w:color w:val="323232"/>
                <w:sz w:val="18"/>
              </w:rPr>
              <w:t>Multi-Part Answer Accuracy / F1</w:t>
            </w:r>
          </w:p>
        </w:tc>
        <w:tc>
          <w:tcPr>
            <w:tcW w:type="dxa" w:w="2304"/>
            <w:shd w:val="clear" w:color="auto" w:fill="F9FAFB"/>
            <w:tcMar>
              <w:top w:w="80" w:type="dxa"/>
              <w:bottom w:w="80" w:type="dxa"/>
              <w:left w:w="130" w:type="dxa"/>
              <w:right w:w="130" w:type="dxa"/>
            </w:tcMar>
          </w:tcPr>
          <w:p>
            <w:pPr>
              <w:spacing w:line="276" w:lineRule="auto"/>
            </w:pPr>
            <w:r>
              <w:rPr>
                <w:color w:val="323232"/>
                <w:sz w:val="18"/>
              </w:rPr>
              <w:t>Exact Match / Token F1 on numerical answers &amp; semantic match on reasoning</w:t>
            </w:r>
          </w:p>
        </w:tc>
        <w:tc>
          <w:tcPr>
            <w:tcW w:type="dxa" w:w="2880"/>
            <w:shd w:val="clear" w:color="auto" w:fill="F9FAFB"/>
            <w:tcMar>
              <w:top w:w="80" w:type="dxa"/>
              <w:bottom w:w="80" w:type="dxa"/>
              <w:left w:w="130" w:type="dxa"/>
              <w:right w:w="130" w:type="dxa"/>
            </w:tcMar>
          </w:tcPr>
          <w:p>
            <w:pPr>
              <w:spacing w:line="276" w:lineRule="auto"/>
            </w:pPr>
            <w:r>
              <w:rPr>
                <w:color w:val="323232"/>
                <w:sz w:val="18"/>
              </w:rPr>
              <w:t>Proves Sys C actually answers both parts of complex multi-hop questions, whereas Sys A and B provide partial answers.</w:t>
            </w:r>
          </w:p>
        </w:tc>
      </w:tr>
      <w:tr>
        <w:tc>
          <w:tcPr>
            <w:tcW w:type="dxa" w:w="1872"/>
            <w:shd w:val="clear" w:color="auto" w:fill="FFFFFF"/>
            <w:tcMar>
              <w:top w:w="80" w:type="dxa"/>
              <w:bottom w:w="80" w:type="dxa"/>
              <w:left w:w="130" w:type="dxa"/>
              <w:right w:w="130" w:type="dxa"/>
            </w:tcMar>
          </w:tcPr>
          <w:p>
            <w:pPr>
              <w:spacing w:line="276" w:lineRule="auto"/>
            </w:pPr>
            <w:r>
              <w:rPr>
                <w:color w:val="323232"/>
                <w:sz w:val="18"/>
              </w:rPr>
              <w:t>Citation Integrity</w:t>
            </w:r>
          </w:p>
        </w:tc>
        <w:tc>
          <w:tcPr>
            <w:tcW w:type="dxa" w:w="2304"/>
            <w:shd w:val="clear" w:color="auto" w:fill="FFFFFF"/>
            <w:tcMar>
              <w:top w:w="80" w:type="dxa"/>
              <w:bottom w:w="80" w:type="dxa"/>
              <w:left w:w="130" w:type="dxa"/>
              <w:right w:w="130" w:type="dxa"/>
            </w:tcMar>
          </w:tcPr>
          <w:p>
            <w:pPr>
              <w:spacing w:line="276" w:lineRule="auto"/>
            </w:pPr>
            <w:r>
              <w:rPr>
                <w:color w:val="323232"/>
                <w:sz w:val="18"/>
              </w:rPr>
              <w:t>Citation Precision &amp; F1</w:t>
            </w:r>
          </w:p>
        </w:tc>
        <w:tc>
          <w:tcPr>
            <w:tcW w:type="dxa" w:w="2304"/>
            <w:shd w:val="clear" w:color="auto" w:fill="FFFFFF"/>
            <w:tcMar>
              <w:top w:w="80" w:type="dxa"/>
              <w:bottom w:w="80" w:type="dxa"/>
              <w:left w:w="130" w:type="dxa"/>
              <w:right w:w="130" w:type="dxa"/>
            </w:tcMar>
          </w:tcPr>
          <w:p>
            <w:pPr>
              <w:spacing w:line="276" w:lineRule="auto"/>
            </w:pPr>
            <w:r>
              <w:rPr>
                <w:color w:val="323232"/>
                <w:sz w:val="18"/>
              </w:rPr>
              <w:t>Automated Regex &amp; LLM-judge passage alignment</w:t>
            </w:r>
          </w:p>
        </w:tc>
        <w:tc>
          <w:tcPr>
            <w:tcW w:type="dxa" w:w="2880"/>
            <w:shd w:val="clear" w:color="auto" w:fill="FFFFFF"/>
            <w:tcMar>
              <w:top w:w="80" w:type="dxa"/>
              <w:bottom w:w="80" w:type="dxa"/>
              <w:left w:w="130" w:type="dxa"/>
              <w:right w:w="130" w:type="dxa"/>
            </w:tcMar>
          </w:tcPr>
          <w:p>
            <w:pPr>
              <w:spacing w:line="276" w:lineRule="auto"/>
            </w:pPr>
            <w:r>
              <w:rPr>
                <w:color w:val="323232"/>
                <w:sz w:val="18"/>
              </w:rPr>
              <w:t>Proves Sys C maps claims directly to specific Item numbers, pages, and table rows.</w:t>
            </w:r>
          </w:p>
        </w:tc>
      </w:tr>
      <w:tr>
        <w:tc>
          <w:tcPr>
            <w:tcW w:type="dxa" w:w="1872"/>
            <w:shd w:val="clear" w:color="auto" w:fill="F9FAFB"/>
            <w:tcMar>
              <w:top w:w="80" w:type="dxa"/>
              <w:bottom w:w="80" w:type="dxa"/>
              <w:left w:w="130" w:type="dxa"/>
              <w:right w:w="130" w:type="dxa"/>
            </w:tcMar>
          </w:tcPr>
          <w:p>
            <w:pPr>
              <w:spacing w:line="276" w:lineRule="auto"/>
            </w:pPr>
            <w:r>
              <w:rPr>
                <w:color w:val="323232"/>
                <w:sz w:val="18"/>
              </w:rPr>
              <w:t>Latency Overhead</w:t>
            </w:r>
          </w:p>
        </w:tc>
        <w:tc>
          <w:tcPr>
            <w:tcW w:type="dxa" w:w="2304"/>
            <w:shd w:val="clear" w:color="auto" w:fill="F9FAFB"/>
            <w:tcMar>
              <w:top w:w="80" w:type="dxa"/>
              <w:bottom w:w="80" w:type="dxa"/>
              <w:left w:w="130" w:type="dxa"/>
              <w:right w:w="130" w:type="dxa"/>
            </w:tcMar>
          </w:tcPr>
          <w:p>
            <w:pPr>
              <w:spacing w:line="276" w:lineRule="auto"/>
            </w:pPr>
            <w:r>
              <w:rPr>
                <w:color w:val="323232"/>
                <w:sz w:val="18"/>
              </w:rPr>
              <w:t>End-to-End Latency (seconds)</w:t>
            </w:r>
          </w:p>
        </w:tc>
        <w:tc>
          <w:tcPr>
            <w:tcW w:type="dxa" w:w="2304"/>
            <w:shd w:val="clear" w:color="auto" w:fill="F9FAFB"/>
            <w:tcMar>
              <w:top w:w="80" w:type="dxa"/>
              <w:bottom w:w="80" w:type="dxa"/>
              <w:left w:w="130" w:type="dxa"/>
              <w:right w:w="130" w:type="dxa"/>
            </w:tcMar>
          </w:tcPr>
          <w:p>
            <w:pPr>
              <w:spacing w:line="276" w:lineRule="auto"/>
            </w:pPr>
            <w:r>
              <w:rPr>
                <w:color w:val="323232"/>
                <w:sz w:val="18"/>
              </w:rPr>
              <w:t>System wall-clock timer (p50, p90)</w:t>
            </w:r>
          </w:p>
        </w:tc>
        <w:tc>
          <w:tcPr>
            <w:tcW w:type="dxa" w:w="2880"/>
            <w:shd w:val="clear" w:color="auto" w:fill="F9FAFB"/>
            <w:tcMar>
              <w:top w:w="80" w:type="dxa"/>
              <w:bottom w:w="80" w:type="dxa"/>
              <w:left w:w="130" w:type="dxa"/>
              <w:right w:w="130" w:type="dxa"/>
            </w:tcMar>
          </w:tcPr>
          <w:p>
            <w:pPr>
              <w:spacing w:line="276" w:lineRule="auto"/>
            </w:pPr>
            <w:r>
              <w:rPr>
                <w:color w:val="323232"/>
                <w:sz w:val="18"/>
              </w:rPr>
              <w:t>Quantifies the speed trade-off: Sys A is fastest (~1.5s), Sys B is moderate (~3.5s), Sys C has iteration overhead (~6-10s).</w:t>
            </w:r>
          </w:p>
        </w:tc>
      </w:tr>
      <w:tr>
        <w:tc>
          <w:tcPr>
            <w:tcW w:type="dxa" w:w="1872"/>
            <w:shd w:val="clear" w:color="auto" w:fill="FFFFFF"/>
            <w:tcMar>
              <w:top w:w="80" w:type="dxa"/>
              <w:bottom w:w="80" w:type="dxa"/>
              <w:left w:w="130" w:type="dxa"/>
              <w:right w:w="130" w:type="dxa"/>
            </w:tcMar>
          </w:tcPr>
          <w:p>
            <w:pPr>
              <w:spacing w:line="276" w:lineRule="auto"/>
            </w:pPr>
            <w:r>
              <w:rPr>
                <w:color w:val="323232"/>
                <w:sz w:val="18"/>
              </w:rPr>
              <w:t>Operational Cost</w:t>
            </w:r>
          </w:p>
        </w:tc>
        <w:tc>
          <w:tcPr>
            <w:tcW w:type="dxa" w:w="2304"/>
            <w:shd w:val="clear" w:color="auto" w:fill="FFFFFF"/>
            <w:tcMar>
              <w:top w:w="80" w:type="dxa"/>
              <w:bottom w:w="80" w:type="dxa"/>
              <w:left w:w="130" w:type="dxa"/>
              <w:right w:w="130" w:type="dxa"/>
            </w:tcMar>
          </w:tcPr>
          <w:p>
            <w:pPr>
              <w:spacing w:line="276" w:lineRule="auto"/>
            </w:pPr>
            <w:r>
              <w:rPr>
                <w:color w:val="323232"/>
                <w:sz w:val="18"/>
              </w:rPr>
              <w:t>Token Usage &amp; Cost ($ / query)</w:t>
            </w:r>
          </w:p>
        </w:tc>
        <w:tc>
          <w:tcPr>
            <w:tcW w:type="dxa" w:w="2304"/>
            <w:shd w:val="clear" w:color="auto" w:fill="FFFFFF"/>
            <w:tcMar>
              <w:top w:w="80" w:type="dxa"/>
              <w:bottom w:w="80" w:type="dxa"/>
              <w:left w:w="130" w:type="dxa"/>
              <w:right w:w="130" w:type="dxa"/>
            </w:tcMar>
          </w:tcPr>
          <w:p>
            <w:pPr>
              <w:spacing w:line="276" w:lineRule="auto"/>
            </w:pPr>
            <w:r>
              <w:rPr>
                <w:color w:val="323232"/>
                <w:sz w:val="18"/>
              </w:rPr>
              <w:t>API Token counters (Input/Output)</w:t>
            </w:r>
          </w:p>
        </w:tc>
        <w:tc>
          <w:tcPr>
            <w:tcW w:type="dxa" w:w="2880"/>
            <w:shd w:val="clear" w:color="auto" w:fill="FFFFFF"/>
            <w:tcMar>
              <w:top w:w="80" w:type="dxa"/>
              <w:bottom w:w="80" w:type="dxa"/>
              <w:left w:w="130" w:type="dxa"/>
              <w:right w:w="130" w:type="dxa"/>
            </w:tcMar>
          </w:tcPr>
          <w:p>
            <w:pPr>
              <w:spacing w:line="276" w:lineRule="auto"/>
            </w:pPr>
            <w:r>
              <w:rPr>
                <w:color w:val="323232"/>
                <w:sz w:val="18"/>
              </w:rPr>
              <w:t>Evaluates commercial viability: Does the accuracy gain of Sys C justify the higher token consumption?</w:t>
            </w:r>
          </w:p>
        </w:tc>
      </w:tr>
      <w:tr>
        <w:tc>
          <w:tcPr>
            <w:tcW w:type="dxa" w:w="1872"/>
            <w:shd w:val="clear" w:color="auto" w:fill="F9FAFB"/>
            <w:tcMar>
              <w:top w:w="80" w:type="dxa"/>
              <w:bottom w:w="80" w:type="dxa"/>
              <w:left w:w="130" w:type="dxa"/>
              <w:right w:w="130" w:type="dxa"/>
            </w:tcMar>
          </w:tcPr>
          <w:p>
            <w:pPr>
              <w:spacing w:line="276" w:lineRule="auto"/>
            </w:pPr>
            <w:r>
              <w:rPr>
                <w:color w:val="323232"/>
                <w:sz w:val="18"/>
              </w:rPr>
              <w:t>Loop Efficiency</w:t>
            </w:r>
          </w:p>
        </w:tc>
        <w:tc>
          <w:tcPr>
            <w:tcW w:type="dxa" w:w="2304"/>
            <w:shd w:val="clear" w:color="auto" w:fill="F9FAFB"/>
            <w:tcMar>
              <w:top w:w="80" w:type="dxa"/>
              <w:bottom w:w="80" w:type="dxa"/>
              <w:left w:w="130" w:type="dxa"/>
              <w:right w:w="130" w:type="dxa"/>
            </w:tcMar>
          </w:tcPr>
          <w:p>
            <w:pPr>
              <w:spacing w:line="276" w:lineRule="auto"/>
            </w:pPr>
            <w:r>
              <w:rPr>
                <w:color w:val="323232"/>
                <w:sz w:val="18"/>
              </w:rPr>
              <w:t>Average Hop Count &amp; Early Stop Rate</w:t>
            </w:r>
          </w:p>
        </w:tc>
        <w:tc>
          <w:tcPr>
            <w:tcW w:type="dxa" w:w="2304"/>
            <w:shd w:val="clear" w:color="auto" w:fill="F9FAFB"/>
            <w:tcMar>
              <w:top w:w="80" w:type="dxa"/>
              <w:bottom w:w="80" w:type="dxa"/>
              <w:left w:w="130" w:type="dxa"/>
              <w:right w:w="130" w:type="dxa"/>
            </w:tcMar>
          </w:tcPr>
          <w:p>
            <w:pPr>
              <w:spacing w:line="276" w:lineRule="auto"/>
            </w:pPr>
            <w:r>
              <w:rPr>
                <w:color w:val="323232"/>
                <w:sz w:val="18"/>
              </w:rPr>
              <w:t>LangGraph State Tracker</w:t>
            </w:r>
          </w:p>
        </w:tc>
        <w:tc>
          <w:tcPr>
            <w:tcW w:type="dxa" w:w="2880"/>
            <w:shd w:val="clear" w:color="auto" w:fill="F9FAFB"/>
            <w:tcMar>
              <w:top w:w="80" w:type="dxa"/>
              <w:bottom w:w="80" w:type="dxa"/>
              <w:left w:w="130" w:type="dxa"/>
              <w:right w:w="130" w:type="dxa"/>
            </w:tcMar>
          </w:tcPr>
          <w:p>
            <w:pPr>
              <w:spacing w:line="276" w:lineRule="auto"/>
            </w:pPr>
            <w:r>
              <w:rPr>
                <w:color w:val="323232"/>
                <w:sz w:val="18"/>
              </w:rPr>
              <w:t>Proves the Adaptive engine is smart: simple queries stop at Hop 1 (saving cost), while complex queries trigger 2-3 hops.</w:t>
            </w:r>
          </w:p>
        </w:tc>
      </w:tr>
    </w:tbl>
    <w:p>
      <w:pPr>
        <w:spacing w:after="120"/>
      </w:pPr>
    </w:p>
    <w:p>
      <w:pPr>
        <w:keepNext/>
        <w:spacing w:before="240" w:after="80"/>
      </w:pPr>
      <w:r>
        <w:rPr>
          <w:rFonts w:ascii="Georgia" w:hAnsi="Georgia"/>
          <w:b/>
          <w:color w:val="4682B4"/>
          <w:sz w:val="24"/>
        </w:rPr>
        <w:t>Hypothesized Benchmark Results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val="clear" w:color="auto" w:fill="184C78"/>
            <w:tcMar>
              <w:top w:w="110" w:type="dxa"/>
              <w:bottom w:w="110" w:type="dxa"/>
              <w:left w:w="130" w:type="dxa"/>
              <w:right w:w="130" w:type="dxa"/>
            </w:tcMar>
          </w:tcPr>
          <w:p>
            <w:r>
              <w:rPr>
                <w:b/>
                <w:color w:val="FFFFFF"/>
                <w:sz w:val="19"/>
              </w:rPr>
              <w:t>Metric</w:t>
            </w:r>
          </w:p>
        </w:tc>
        <w:tc>
          <w:tcPr>
            <w:tcW w:type="dxa" w:w="2304"/>
            <w:shd w:val="clear" w:color="auto" w:fill="184C78"/>
            <w:tcMar>
              <w:top w:w="110" w:type="dxa"/>
              <w:bottom w:w="110" w:type="dxa"/>
              <w:left w:w="130" w:type="dxa"/>
              <w:right w:w="130" w:type="dxa"/>
            </w:tcMar>
          </w:tcPr>
          <w:p>
            <w:r>
              <w:rPr>
                <w:b/>
                <w:color w:val="FFFFFF"/>
                <w:sz w:val="19"/>
              </w:rPr>
              <w:t>Sys A (Naive Baseline)</w:t>
            </w:r>
          </w:p>
        </w:tc>
        <w:tc>
          <w:tcPr>
            <w:tcW w:type="dxa" w:w="2304"/>
            <w:shd w:val="clear" w:color="auto" w:fill="184C78"/>
            <w:tcMar>
              <w:top w:w="110" w:type="dxa"/>
              <w:bottom w:w="110" w:type="dxa"/>
              <w:left w:w="130" w:type="dxa"/>
              <w:right w:w="130" w:type="dxa"/>
            </w:tcMar>
          </w:tcPr>
          <w:p>
            <w:r>
              <w:rPr>
                <w:b/>
                <w:color w:val="FFFFFF"/>
                <w:sz w:val="19"/>
              </w:rPr>
              <w:t>Sys B (Advanced Single-Pass)</w:t>
            </w:r>
          </w:p>
        </w:tc>
        <w:tc>
          <w:tcPr>
            <w:tcW w:type="dxa" w:w="2448"/>
            <w:shd w:val="clear" w:color="auto" w:fill="184C78"/>
            <w:tcMar>
              <w:top w:w="110" w:type="dxa"/>
              <w:bottom w:w="110" w:type="dxa"/>
              <w:left w:w="130" w:type="dxa"/>
              <w:right w:w="130" w:type="dxa"/>
            </w:tcMar>
          </w:tcPr>
          <w:p>
            <w:r>
              <w:rPr>
                <w:b/>
                <w:color w:val="FFFFFF"/>
                <w:sz w:val="19"/>
              </w:rPr>
              <w:t>Sys C (Proposed Adaptive Multi-Hop)</w:t>
            </w:r>
          </w:p>
        </w:tc>
      </w:tr>
      <w:tr>
        <w:tc>
          <w:tcPr>
            <w:tcW w:type="dxa" w:w="2304"/>
            <w:shd w:val="clear" w:color="auto" w:fill="FFFFFF"/>
            <w:tcMar>
              <w:top w:w="80" w:type="dxa"/>
              <w:bottom w:w="80" w:type="dxa"/>
              <w:left w:w="130" w:type="dxa"/>
              <w:right w:w="130" w:type="dxa"/>
            </w:tcMar>
          </w:tcPr>
          <w:p>
            <w:pPr>
              <w:spacing w:line="276" w:lineRule="auto"/>
            </w:pPr>
            <w:r>
              <w:rPr>
                <w:color w:val="323232"/>
                <w:sz w:val="18"/>
              </w:rPr>
              <w:t>Multi-Hop Evidence Recall</w:t>
            </w:r>
          </w:p>
        </w:tc>
        <w:tc>
          <w:tcPr>
            <w:tcW w:type="dxa" w:w="2304"/>
            <w:shd w:val="clear" w:color="auto" w:fill="FFFFFF"/>
            <w:tcMar>
              <w:top w:w="80" w:type="dxa"/>
              <w:bottom w:w="80" w:type="dxa"/>
              <w:left w:w="130" w:type="dxa"/>
              <w:right w:w="130" w:type="dxa"/>
            </w:tcMar>
          </w:tcPr>
          <w:p>
            <w:pPr>
              <w:spacing w:line="276" w:lineRule="auto"/>
            </w:pPr>
            <w:r>
              <w:rPr>
                <w:color w:val="323232"/>
                <w:sz w:val="18"/>
              </w:rPr>
              <w:t>35% - 45% (Fails on 2nd hop)</w:t>
            </w:r>
          </w:p>
        </w:tc>
        <w:tc>
          <w:tcPr>
            <w:tcW w:type="dxa" w:w="2304"/>
            <w:shd w:val="clear" w:color="auto" w:fill="FFFFFF"/>
            <w:tcMar>
              <w:top w:w="80" w:type="dxa"/>
              <w:bottom w:w="80" w:type="dxa"/>
              <w:left w:w="130" w:type="dxa"/>
              <w:right w:w="130" w:type="dxa"/>
            </w:tcMar>
          </w:tcPr>
          <w:p>
            <w:pPr>
              <w:spacing w:line="276" w:lineRule="auto"/>
            </w:pPr>
            <w:r>
              <w:rPr>
                <w:color w:val="323232"/>
                <w:sz w:val="18"/>
              </w:rPr>
              <w:t>50% - 60% (Reranker helps, misses gaps)</w:t>
            </w:r>
          </w:p>
        </w:tc>
        <w:tc>
          <w:tcPr>
            <w:tcW w:type="dxa" w:w="2448"/>
            <w:shd w:val="clear" w:color="auto" w:fill="FFFFFF"/>
            <w:tcMar>
              <w:top w:w="80" w:type="dxa"/>
              <w:bottom w:w="80" w:type="dxa"/>
              <w:left w:w="130" w:type="dxa"/>
              <w:right w:w="130" w:type="dxa"/>
            </w:tcMar>
          </w:tcPr>
          <w:p>
            <w:pPr>
              <w:spacing w:line="276" w:lineRule="auto"/>
            </w:pPr>
            <w:r>
              <w:rPr>
                <w:color w:val="323232"/>
                <w:sz w:val="18"/>
              </w:rPr>
              <w:t>85% - 95% (Follow-up hops retrieve missing evidence)</w:t>
            </w:r>
          </w:p>
        </w:tc>
      </w:tr>
      <w:tr>
        <w:tc>
          <w:tcPr>
            <w:tcW w:type="dxa" w:w="2304"/>
            <w:shd w:val="clear" w:color="auto" w:fill="F9FAFB"/>
            <w:tcMar>
              <w:top w:w="80" w:type="dxa"/>
              <w:bottom w:w="80" w:type="dxa"/>
              <w:left w:w="130" w:type="dxa"/>
              <w:right w:w="130" w:type="dxa"/>
            </w:tcMar>
          </w:tcPr>
          <w:p>
            <w:pPr>
              <w:spacing w:line="276" w:lineRule="auto"/>
            </w:pPr>
            <w:r>
              <w:rPr>
                <w:color w:val="323232"/>
                <w:sz w:val="18"/>
              </w:rPr>
              <w:t>Answer Faithfulness (RAGAS)</w:t>
            </w:r>
          </w:p>
        </w:tc>
        <w:tc>
          <w:tcPr>
            <w:tcW w:type="dxa" w:w="2304"/>
            <w:shd w:val="clear" w:color="auto" w:fill="F9FAFB"/>
            <w:tcMar>
              <w:top w:w="80" w:type="dxa"/>
              <w:bottom w:w="80" w:type="dxa"/>
              <w:left w:w="130" w:type="dxa"/>
              <w:right w:w="130" w:type="dxa"/>
            </w:tcMar>
          </w:tcPr>
          <w:p>
            <w:pPr>
              <w:spacing w:line="276" w:lineRule="auto"/>
            </w:pPr>
            <w:r>
              <w:rPr>
                <w:color w:val="323232"/>
                <w:sz w:val="18"/>
              </w:rPr>
              <w:t>0.62 (Frequent hallucinations)</w:t>
            </w:r>
          </w:p>
        </w:tc>
        <w:tc>
          <w:tcPr>
            <w:tcW w:type="dxa" w:w="2304"/>
            <w:shd w:val="clear" w:color="auto" w:fill="F9FAFB"/>
            <w:tcMar>
              <w:top w:w="80" w:type="dxa"/>
              <w:bottom w:w="80" w:type="dxa"/>
              <w:left w:w="130" w:type="dxa"/>
              <w:right w:w="130" w:type="dxa"/>
            </w:tcMar>
          </w:tcPr>
          <w:p>
            <w:pPr>
              <w:spacing w:line="276" w:lineRule="auto"/>
            </w:pPr>
            <w:r>
              <w:rPr>
                <w:color w:val="323232"/>
                <w:sz w:val="18"/>
              </w:rPr>
              <w:t>0.78 (Better context, but incomplete)</w:t>
            </w:r>
          </w:p>
        </w:tc>
        <w:tc>
          <w:tcPr>
            <w:tcW w:type="dxa" w:w="2448"/>
            <w:shd w:val="clear" w:color="auto" w:fill="F9FAFB"/>
            <w:tcMar>
              <w:top w:w="80" w:type="dxa"/>
              <w:bottom w:w="80" w:type="dxa"/>
              <w:left w:w="130" w:type="dxa"/>
              <w:right w:w="130" w:type="dxa"/>
            </w:tcMar>
          </w:tcPr>
          <w:p>
            <w:pPr>
              <w:spacing w:line="276" w:lineRule="auto"/>
            </w:pPr>
            <w:r>
              <w:rPr>
                <w:color w:val="323232"/>
                <w:sz w:val="18"/>
              </w:rPr>
              <w:t>0.92 (Strictly grounded with sufficiency check)</w:t>
            </w:r>
          </w:p>
        </w:tc>
      </w:tr>
      <w:tr>
        <w:tc>
          <w:tcPr>
            <w:tcW w:type="dxa" w:w="2304"/>
            <w:shd w:val="clear" w:color="auto" w:fill="FFFFFF"/>
            <w:tcMar>
              <w:top w:w="80" w:type="dxa"/>
              <w:bottom w:w="80" w:type="dxa"/>
              <w:left w:w="130" w:type="dxa"/>
              <w:right w:w="130" w:type="dxa"/>
            </w:tcMar>
          </w:tcPr>
          <w:p>
            <w:pPr>
              <w:spacing w:line="276" w:lineRule="auto"/>
            </w:pPr>
            <w:r>
              <w:rPr>
                <w:color w:val="323232"/>
                <w:sz w:val="18"/>
              </w:rPr>
              <w:t>Answer Completeness (F1)</w:t>
            </w:r>
          </w:p>
        </w:tc>
        <w:tc>
          <w:tcPr>
            <w:tcW w:type="dxa" w:w="2304"/>
            <w:shd w:val="clear" w:color="auto" w:fill="FFFFFF"/>
            <w:tcMar>
              <w:top w:w="80" w:type="dxa"/>
              <w:bottom w:w="80" w:type="dxa"/>
              <w:left w:w="130" w:type="dxa"/>
              <w:right w:w="130" w:type="dxa"/>
            </w:tcMar>
          </w:tcPr>
          <w:p>
            <w:pPr>
              <w:spacing w:line="276" w:lineRule="auto"/>
            </w:pPr>
            <w:r>
              <w:rPr>
                <w:color w:val="323232"/>
                <w:sz w:val="18"/>
              </w:rPr>
              <w:t>0.48</w:t>
            </w:r>
          </w:p>
        </w:tc>
        <w:tc>
          <w:tcPr>
            <w:tcW w:type="dxa" w:w="2304"/>
            <w:shd w:val="clear" w:color="auto" w:fill="FFFFFF"/>
            <w:tcMar>
              <w:top w:w="80" w:type="dxa"/>
              <w:bottom w:w="80" w:type="dxa"/>
              <w:left w:w="130" w:type="dxa"/>
              <w:right w:w="130" w:type="dxa"/>
            </w:tcMar>
          </w:tcPr>
          <w:p>
            <w:pPr>
              <w:spacing w:line="276" w:lineRule="auto"/>
            </w:pPr>
            <w:r>
              <w:rPr>
                <w:color w:val="323232"/>
                <w:sz w:val="18"/>
              </w:rPr>
              <w:t>0.65</w:t>
            </w:r>
          </w:p>
        </w:tc>
        <w:tc>
          <w:tcPr>
            <w:tcW w:type="dxa" w:w="2448"/>
            <w:shd w:val="clear" w:color="auto" w:fill="FFFFFF"/>
            <w:tcMar>
              <w:top w:w="80" w:type="dxa"/>
              <w:bottom w:w="80" w:type="dxa"/>
              <w:left w:w="130" w:type="dxa"/>
              <w:right w:w="130" w:type="dxa"/>
            </w:tcMar>
          </w:tcPr>
          <w:p>
            <w:pPr>
              <w:spacing w:line="276" w:lineRule="auto"/>
            </w:pPr>
            <w:r>
              <w:rPr>
                <w:color w:val="323232"/>
                <w:sz w:val="18"/>
              </w:rPr>
              <w:t>0.88</w:t>
            </w:r>
          </w:p>
        </w:tc>
      </w:tr>
      <w:tr>
        <w:tc>
          <w:tcPr>
            <w:tcW w:type="dxa" w:w="2304"/>
            <w:shd w:val="clear" w:color="auto" w:fill="F9FAFB"/>
            <w:tcMar>
              <w:top w:w="80" w:type="dxa"/>
              <w:bottom w:w="80" w:type="dxa"/>
              <w:left w:w="130" w:type="dxa"/>
              <w:right w:w="130" w:type="dxa"/>
            </w:tcMar>
          </w:tcPr>
          <w:p>
            <w:pPr>
              <w:spacing w:line="276" w:lineRule="auto"/>
            </w:pPr>
            <w:r>
              <w:rPr>
                <w:color w:val="323232"/>
                <w:sz w:val="18"/>
              </w:rPr>
              <w:t>Citation Precision</w:t>
            </w:r>
          </w:p>
        </w:tc>
        <w:tc>
          <w:tcPr>
            <w:tcW w:type="dxa" w:w="2304"/>
            <w:shd w:val="clear" w:color="auto" w:fill="F9FAFB"/>
            <w:tcMar>
              <w:top w:w="80" w:type="dxa"/>
              <w:bottom w:w="80" w:type="dxa"/>
              <w:left w:w="130" w:type="dxa"/>
              <w:right w:w="130" w:type="dxa"/>
            </w:tcMar>
          </w:tcPr>
          <w:p>
            <w:pPr>
              <w:spacing w:line="276" w:lineRule="auto"/>
            </w:pPr>
            <w:r>
              <w:rPr>
                <w:color w:val="323232"/>
                <w:sz w:val="18"/>
              </w:rPr>
              <w:t>40%</w:t>
            </w:r>
          </w:p>
        </w:tc>
        <w:tc>
          <w:tcPr>
            <w:tcW w:type="dxa" w:w="2304"/>
            <w:shd w:val="clear" w:color="auto" w:fill="F9FAFB"/>
            <w:tcMar>
              <w:top w:w="80" w:type="dxa"/>
              <w:bottom w:w="80" w:type="dxa"/>
              <w:left w:w="130" w:type="dxa"/>
              <w:right w:w="130" w:type="dxa"/>
            </w:tcMar>
          </w:tcPr>
          <w:p>
            <w:pPr>
              <w:spacing w:line="276" w:lineRule="auto"/>
            </w:pPr>
            <w:r>
              <w:rPr>
                <w:color w:val="323232"/>
                <w:sz w:val="18"/>
              </w:rPr>
              <w:t>70%</w:t>
            </w:r>
          </w:p>
        </w:tc>
        <w:tc>
          <w:tcPr>
            <w:tcW w:type="dxa" w:w="2448"/>
            <w:shd w:val="clear" w:color="auto" w:fill="F9FAFB"/>
            <w:tcMar>
              <w:top w:w="80" w:type="dxa"/>
              <w:bottom w:w="80" w:type="dxa"/>
              <w:left w:w="130" w:type="dxa"/>
              <w:right w:w="130" w:type="dxa"/>
            </w:tcMar>
          </w:tcPr>
          <w:p>
            <w:pPr>
              <w:spacing w:line="276" w:lineRule="auto"/>
            </w:pPr>
            <w:r>
              <w:rPr>
                <w:color w:val="323232"/>
                <w:sz w:val="18"/>
              </w:rPr>
              <w:t>92%</w:t>
            </w:r>
          </w:p>
        </w:tc>
      </w:tr>
      <w:tr>
        <w:tc>
          <w:tcPr>
            <w:tcW w:type="dxa" w:w="2304"/>
            <w:shd w:val="clear" w:color="auto" w:fill="FFFFFF"/>
            <w:tcMar>
              <w:top w:w="80" w:type="dxa"/>
              <w:bottom w:w="80" w:type="dxa"/>
              <w:left w:w="130" w:type="dxa"/>
              <w:right w:w="130" w:type="dxa"/>
            </w:tcMar>
          </w:tcPr>
          <w:p>
            <w:pPr>
              <w:spacing w:line="276" w:lineRule="auto"/>
            </w:pPr>
            <w:r>
              <w:rPr>
                <w:color w:val="323232"/>
                <w:sz w:val="18"/>
              </w:rPr>
              <w:t>End-to-End Latency</w:t>
            </w:r>
          </w:p>
        </w:tc>
        <w:tc>
          <w:tcPr>
            <w:tcW w:type="dxa" w:w="2304"/>
            <w:shd w:val="clear" w:color="auto" w:fill="FFFFFF"/>
            <w:tcMar>
              <w:top w:w="80" w:type="dxa"/>
              <w:bottom w:w="80" w:type="dxa"/>
              <w:left w:w="130" w:type="dxa"/>
              <w:right w:w="130" w:type="dxa"/>
            </w:tcMar>
          </w:tcPr>
          <w:p>
            <w:pPr>
              <w:spacing w:line="276" w:lineRule="auto"/>
            </w:pPr>
            <w:r>
              <w:rPr>
                <w:color w:val="323232"/>
                <w:sz w:val="18"/>
              </w:rPr>
              <w:t>~1.5s</w:t>
            </w:r>
          </w:p>
        </w:tc>
        <w:tc>
          <w:tcPr>
            <w:tcW w:type="dxa" w:w="2304"/>
            <w:shd w:val="clear" w:color="auto" w:fill="FFFFFF"/>
            <w:tcMar>
              <w:top w:w="80" w:type="dxa"/>
              <w:bottom w:w="80" w:type="dxa"/>
              <w:left w:w="130" w:type="dxa"/>
              <w:right w:w="130" w:type="dxa"/>
            </w:tcMar>
          </w:tcPr>
          <w:p>
            <w:pPr>
              <w:spacing w:line="276" w:lineRule="auto"/>
            </w:pPr>
            <w:r>
              <w:rPr>
                <w:color w:val="323232"/>
                <w:sz w:val="18"/>
              </w:rPr>
              <w:t>~3.5s (due to reranker)</w:t>
            </w:r>
          </w:p>
        </w:tc>
        <w:tc>
          <w:tcPr>
            <w:tcW w:type="dxa" w:w="2448"/>
            <w:shd w:val="clear" w:color="auto" w:fill="FFFFFF"/>
            <w:tcMar>
              <w:top w:w="80" w:type="dxa"/>
              <w:bottom w:w="80" w:type="dxa"/>
              <w:left w:w="130" w:type="dxa"/>
              <w:right w:w="130" w:type="dxa"/>
            </w:tcMar>
          </w:tcPr>
          <w:p>
            <w:pPr>
              <w:spacing w:line="276" w:lineRule="auto"/>
            </w:pPr>
            <w:r>
              <w:rPr>
                <w:color w:val="323232"/>
                <w:sz w:val="18"/>
              </w:rPr>
              <w:t>~7.0s (multi-stage graph execution)</w:t>
            </w:r>
          </w:p>
        </w:tc>
      </w:tr>
      <w:tr>
        <w:tc>
          <w:tcPr>
            <w:tcW w:type="dxa" w:w="2304"/>
            <w:shd w:val="clear" w:color="auto" w:fill="F9FAFB"/>
            <w:tcMar>
              <w:top w:w="80" w:type="dxa"/>
              <w:bottom w:w="80" w:type="dxa"/>
              <w:left w:w="130" w:type="dxa"/>
              <w:right w:w="130" w:type="dxa"/>
            </w:tcMar>
          </w:tcPr>
          <w:p>
            <w:pPr>
              <w:spacing w:line="276" w:lineRule="auto"/>
            </w:pPr>
            <w:r>
              <w:rPr>
                <w:color w:val="323232"/>
                <w:sz w:val="18"/>
              </w:rPr>
              <w:t>Cost per 1k Queries</w:t>
            </w:r>
          </w:p>
        </w:tc>
        <w:tc>
          <w:tcPr>
            <w:tcW w:type="dxa" w:w="2304"/>
            <w:shd w:val="clear" w:color="auto" w:fill="F9FAFB"/>
            <w:tcMar>
              <w:top w:w="80" w:type="dxa"/>
              <w:bottom w:w="80" w:type="dxa"/>
              <w:left w:w="130" w:type="dxa"/>
              <w:right w:w="130" w:type="dxa"/>
            </w:tcMar>
          </w:tcPr>
          <w:p>
            <w:pPr>
              <w:spacing w:line="276" w:lineRule="auto"/>
            </w:pPr>
            <w:r>
              <w:rPr>
                <w:color w:val="323232"/>
                <w:sz w:val="18"/>
              </w:rPr>
              <w:t>~$1.50</w:t>
            </w:r>
          </w:p>
        </w:tc>
        <w:tc>
          <w:tcPr>
            <w:tcW w:type="dxa" w:w="2304"/>
            <w:shd w:val="clear" w:color="auto" w:fill="F9FAFB"/>
            <w:tcMar>
              <w:top w:w="80" w:type="dxa"/>
              <w:bottom w:w="80" w:type="dxa"/>
              <w:left w:w="130" w:type="dxa"/>
              <w:right w:w="130" w:type="dxa"/>
            </w:tcMar>
          </w:tcPr>
          <w:p>
            <w:pPr>
              <w:spacing w:line="276" w:lineRule="auto"/>
            </w:pPr>
            <w:r>
              <w:rPr>
                <w:color w:val="323232"/>
                <w:sz w:val="18"/>
              </w:rPr>
              <w:t>~$2.80</w:t>
            </w:r>
          </w:p>
        </w:tc>
        <w:tc>
          <w:tcPr>
            <w:tcW w:type="dxa" w:w="2448"/>
            <w:shd w:val="clear" w:color="auto" w:fill="F9FAFB"/>
            <w:tcMar>
              <w:top w:w="80" w:type="dxa"/>
              <w:bottom w:w="80" w:type="dxa"/>
              <w:left w:w="130" w:type="dxa"/>
              <w:right w:w="130" w:type="dxa"/>
            </w:tcMar>
          </w:tcPr>
          <w:p>
            <w:pPr>
              <w:spacing w:line="276" w:lineRule="auto"/>
            </w:pPr>
            <w:r>
              <w:rPr>
                <w:color w:val="323232"/>
                <w:sz w:val="18"/>
              </w:rPr>
              <w:t>~$6.50</w:t>
            </w:r>
          </w:p>
        </w:tc>
      </w:tr>
    </w:tbl>
    <w:p>
      <w:pPr>
        <w:spacing w:after="120"/>
      </w:pPr>
    </w:p>
    <w:p>
      <w:pPr>
        <w:keepNext/>
        <w:spacing w:before="320" w:after="120"/>
      </w:pPr>
      <w:r>
        <w:rPr>
          <w:rFonts w:ascii="Georgia" w:hAnsi="Georgia"/>
          <w:b/>
          <w:color w:val="184C78"/>
          <w:sz w:val="28"/>
        </w:rPr>
        <w:t>6. Data Sources, Verified Repository Links &amp; Golden Dataset Strategy</w:t>
      </w:r>
    </w:p>
    <w:p>
      <w:pPr>
        <w:spacing w:line="276" w:lineRule="auto" w:after="80"/>
      </w:pPr>
      <w:r>
        <w:t>To eliminate manual question creation and ensure zero financial accounting burden on the team, the project leverages pre-annotated academic benchmarks and automated generation:</w:t>
      </w:r>
    </w:p>
    <w:p>
      <w:pPr>
        <w:pStyle w:val="ListBullet"/>
        <w:spacing w:before="40" w:after="40" w:line="276" w:lineRule="auto"/>
      </w:pPr>
      <w:r>
        <w:rPr>
          <w:b/>
          <w:color w:val="1E1E1E"/>
        </w:rPr>
        <w:t xml:space="preserve">1. FinQA Dataset (80% of Benchmark): </w:t>
      </w:r>
      <w:r>
        <w:rPr>
          <w:color w:val="323232"/>
        </w:rPr>
        <w:t>Created by Columbia University AI researchers. Contains over 8,000 multi-hop financial QA pairs requiring numerical &amp; textual reasoning over earnings.</w:t>
        <w:br/>
        <w:t>• Hugging Face Repository: https://huggingface.co/datasets/TheFinAI/en-finqa</w:t>
        <w:br/>
        <w:t>• Official GitHub: https://github.com/czyssrs/FinQA</w:t>
        <w:br/>
        <w:t>• Python Loading: datasets.load_dataset('TheFinAI/en-finqa')</w:t>
      </w:r>
    </w:p>
    <w:p>
      <w:pPr>
        <w:pStyle w:val="ListBullet"/>
        <w:spacing w:before="40" w:after="40" w:line="276" w:lineRule="auto"/>
      </w:pPr>
      <w:r>
        <w:rPr>
          <w:b/>
          <w:color w:val="1E1E1E"/>
        </w:rPr>
        <w:t xml:space="preserve">2. TAT-QA Dataset (Tabular &amp; Textual QA): </w:t>
      </w:r>
      <w:r>
        <w:rPr>
          <w:color w:val="323232"/>
        </w:rPr>
        <w:t>Large-scale benchmark designed specifically for hybrid contexts (tables + text) in financial reports.</w:t>
        <w:br/>
        <w:t>• Official GitHub: https://github.com/NExTplusplus/TAT-QA</w:t>
        <w:br/>
        <w:t>• Project Page &amp; Leaderboard: https://nextplusplus.github.io/TAT-QA/</w:t>
      </w:r>
    </w:p>
    <w:p>
      <w:pPr>
        <w:pStyle w:val="ListBullet"/>
        <w:spacing w:before="40" w:after="40" w:line="276" w:lineRule="auto"/>
      </w:pPr>
      <w:r>
        <w:rPr>
          <w:b/>
          <w:color w:val="1E1E1E"/>
        </w:rPr>
        <w:t xml:space="preserve">3. SEC EDGAR Annual Filings (20% Live 2024 Test Set): </w:t>
      </w:r>
      <w:r>
        <w:rPr>
          <w:color w:val="323232"/>
        </w:rPr>
        <w:t>Official corporate 10-K filings for Apple, Microsoft, NVIDIA, Amazon, and Tesla.</w:t>
        <w:br/>
        <w:t>• SEC Search Portal: https://www.sec.gov/edgar/searchedgar/companysearch</w:t>
        <w:br/>
        <w:t>• Python Automated Downloader: https://github.com/jadchaar/sec-edgar-downloader</w:t>
      </w:r>
    </w:p>
    <w:p>
      <w:pPr>
        <w:pStyle w:val="ListBullet"/>
        <w:spacing w:before="40" w:after="40" w:line="276" w:lineRule="auto"/>
      </w:pPr>
      <w:r>
        <w:rPr>
          <w:b/>
          <w:color w:val="1E1E1E"/>
        </w:rPr>
        <w:t xml:space="preserve">4. Ragas Automated Synthetic Test Generation: </w:t>
      </w:r>
      <w:r>
        <w:rPr>
          <w:color w:val="323232"/>
        </w:rPr>
        <w:t>Used to generate multi-hop queries from live 2024 10-K text in under 2 minutes, requiring only a 10-minute spot-check by the team.</w:t>
        <w:br/>
        <w:t>• Testset Generation Documentation: https://docs.ragas.io/en/stable/getstarted/testset_generation/</w:t>
        <w:br/>
        <w:t>• Ragas Evaluation Metrics Guide: https://docs.ragas.io/en/stable/concepts/metrics/available_metrics/</w:t>
      </w:r>
    </w:p>
    <w:p>
      <w:pPr>
        <w:keepNext/>
        <w:spacing w:before="320" w:after="120"/>
      </w:pPr>
      <w:r>
        <w:rPr>
          <w:rFonts w:ascii="Georgia" w:hAnsi="Georgia"/>
          <w:b/>
          <w:color w:val="184C78"/>
          <w:sz w:val="28"/>
        </w:rPr>
        <w:t>7. 5-Person Workload Allocation (Balanced Ownership)</w:t>
      </w:r>
    </w:p>
    <w:tbl>
      <w:tblPr>
        <w:tblW w:type="auto" w:w="0"/>
        <w:jc w:val="center"/>
        <w:tblLayout w:type="fixed"/>
        <w:tblLook w:firstColumn="1" w:firstRow="1" w:lastColumn="0" w:lastRow="0" w:noHBand="0" w:noVBand="1" w:val="04A0"/>
      </w:tblPr>
      <w:tblGrid>
        <w:gridCol w:w="3120"/>
        <w:gridCol w:w="3120"/>
        <w:gridCol w:w="3120"/>
      </w:tblGrid>
      <w:tr>
        <w:tc>
          <w:tcPr>
            <w:tcW w:type="dxa" w:w="2016"/>
            <w:shd w:val="clear" w:color="auto" w:fill="184C78"/>
            <w:tcMar>
              <w:top w:w="110" w:type="dxa"/>
              <w:bottom w:w="110" w:type="dxa"/>
              <w:left w:w="130" w:type="dxa"/>
              <w:right w:w="130" w:type="dxa"/>
            </w:tcMar>
          </w:tcPr>
          <w:p>
            <w:r>
              <w:rPr>
                <w:b/>
                <w:color w:val="FFFFFF"/>
                <w:sz w:val="19"/>
              </w:rPr>
              <w:t>Team Member</w:t>
            </w:r>
          </w:p>
        </w:tc>
        <w:tc>
          <w:tcPr>
            <w:tcW w:type="dxa" w:w="2592"/>
            <w:shd w:val="clear" w:color="auto" w:fill="184C78"/>
            <w:tcMar>
              <w:top w:w="110" w:type="dxa"/>
              <w:bottom w:w="110" w:type="dxa"/>
              <w:left w:w="130" w:type="dxa"/>
              <w:right w:w="130" w:type="dxa"/>
            </w:tcMar>
          </w:tcPr>
          <w:p>
            <w:r>
              <w:rPr>
                <w:b/>
                <w:color w:val="FFFFFF"/>
                <w:sz w:val="19"/>
              </w:rPr>
              <w:t>Designated Role</w:t>
            </w:r>
          </w:p>
        </w:tc>
        <w:tc>
          <w:tcPr>
            <w:tcW w:type="dxa" w:w="4752"/>
            <w:shd w:val="clear" w:color="auto" w:fill="184C78"/>
            <w:tcMar>
              <w:top w:w="110" w:type="dxa"/>
              <w:bottom w:w="110" w:type="dxa"/>
              <w:left w:w="130" w:type="dxa"/>
              <w:right w:w="130" w:type="dxa"/>
            </w:tcMar>
          </w:tcPr>
          <w:p>
            <w:r>
              <w:rPr>
                <w:b/>
                <w:color w:val="FFFFFF"/>
                <w:sz w:val="19"/>
              </w:rPr>
              <w:t>Core Modules &amp; Ownership Deliverables</w:t>
            </w:r>
          </w:p>
        </w:tc>
      </w:tr>
      <w:tr>
        <w:tc>
          <w:tcPr>
            <w:tcW w:type="dxa" w:w="2016"/>
            <w:shd w:val="clear" w:color="auto" w:fill="FFFFFF"/>
            <w:tcMar>
              <w:top w:w="80" w:type="dxa"/>
              <w:bottom w:w="80" w:type="dxa"/>
              <w:left w:w="130" w:type="dxa"/>
              <w:right w:w="130" w:type="dxa"/>
            </w:tcMar>
          </w:tcPr>
          <w:p>
            <w:pPr>
              <w:spacing w:line="276" w:lineRule="auto"/>
            </w:pPr>
            <w:r>
              <w:rPr>
                <w:color w:val="323232"/>
                <w:sz w:val="18"/>
              </w:rPr>
              <w:t>Member 1 (Anish)</w:t>
            </w:r>
          </w:p>
        </w:tc>
        <w:tc>
          <w:tcPr>
            <w:tcW w:type="dxa" w:w="2592"/>
            <w:shd w:val="clear" w:color="auto" w:fill="FFFFFF"/>
            <w:tcMar>
              <w:top w:w="80" w:type="dxa"/>
              <w:bottom w:w="80" w:type="dxa"/>
              <w:left w:w="130" w:type="dxa"/>
              <w:right w:w="130" w:type="dxa"/>
            </w:tcMar>
          </w:tcPr>
          <w:p>
            <w:pPr>
              <w:spacing w:line="276" w:lineRule="auto"/>
            </w:pPr>
            <w:r>
              <w:rPr>
                <w:color w:val="323232"/>
                <w:sz w:val="18"/>
              </w:rPr>
              <w:t>System Architect &amp; Orchestration Lead</w:t>
            </w:r>
          </w:p>
        </w:tc>
        <w:tc>
          <w:tcPr>
            <w:tcW w:type="dxa" w:w="4752"/>
            <w:shd w:val="clear" w:color="auto" w:fill="FFFFFF"/>
            <w:tcMar>
              <w:top w:w="80" w:type="dxa"/>
              <w:bottom w:w="80" w:type="dxa"/>
              <w:left w:w="130" w:type="dxa"/>
              <w:right w:w="130" w:type="dxa"/>
            </w:tcMar>
          </w:tcPr>
          <w:p>
            <w:pPr>
              <w:spacing w:line="276" w:lineRule="auto"/>
            </w:pPr>
            <w:r>
              <w:rPr>
                <w:color w:val="323232"/>
                <w:sz w:val="18"/>
              </w:rPr>
              <w:t>LangGraph state machine design, query decomposition node, adaptive evidence sufficiency critic, loop routing logic (max_hops = 3).</w:t>
            </w:r>
          </w:p>
        </w:tc>
      </w:tr>
      <w:tr>
        <w:tc>
          <w:tcPr>
            <w:tcW w:type="dxa" w:w="2016"/>
            <w:shd w:val="clear" w:color="auto" w:fill="F9FAFB"/>
            <w:tcMar>
              <w:top w:w="80" w:type="dxa"/>
              <w:bottom w:w="80" w:type="dxa"/>
              <w:left w:w="130" w:type="dxa"/>
              <w:right w:w="130" w:type="dxa"/>
            </w:tcMar>
          </w:tcPr>
          <w:p>
            <w:pPr>
              <w:spacing w:line="276" w:lineRule="auto"/>
            </w:pPr>
            <w:r>
              <w:rPr>
                <w:color w:val="323232"/>
                <w:sz w:val="18"/>
              </w:rPr>
              <w:t>Member 2</w:t>
            </w:r>
          </w:p>
        </w:tc>
        <w:tc>
          <w:tcPr>
            <w:tcW w:type="dxa" w:w="2592"/>
            <w:shd w:val="clear" w:color="auto" w:fill="F9FAFB"/>
            <w:tcMar>
              <w:top w:w="80" w:type="dxa"/>
              <w:bottom w:w="80" w:type="dxa"/>
              <w:left w:w="130" w:type="dxa"/>
              <w:right w:w="130" w:type="dxa"/>
            </w:tcMar>
          </w:tcPr>
          <w:p>
            <w:pPr>
              <w:spacing w:line="276" w:lineRule="auto"/>
            </w:pPr>
            <w:r>
              <w:rPr>
                <w:color w:val="323232"/>
                <w:sz w:val="18"/>
              </w:rPr>
              <w:t>Data Ingestion &amp; Table Parsing Engineer</w:t>
            </w:r>
          </w:p>
        </w:tc>
        <w:tc>
          <w:tcPr>
            <w:tcW w:type="dxa" w:w="4752"/>
            <w:shd w:val="clear" w:color="auto" w:fill="F9FAFB"/>
            <w:tcMar>
              <w:top w:w="80" w:type="dxa"/>
              <w:bottom w:w="80" w:type="dxa"/>
              <w:left w:w="130" w:type="dxa"/>
              <w:right w:w="130" w:type="dxa"/>
            </w:tcMar>
          </w:tcPr>
          <w:p>
            <w:pPr>
              <w:spacing w:line="276" w:lineRule="auto"/>
            </w:pPr>
            <w:r>
              <w:rPr>
                <w:color w:val="323232"/>
                <w:sz w:val="18"/>
              </w:rPr>
              <w:t>SEC EDGAR 10-K ingestion pipeline, HTML/PDF table preservation (Markdown/JSON tables), semantic chunking strategy, metadata indexing.</w:t>
            </w:r>
          </w:p>
        </w:tc>
      </w:tr>
      <w:tr>
        <w:tc>
          <w:tcPr>
            <w:tcW w:type="dxa" w:w="2016"/>
            <w:shd w:val="clear" w:color="auto" w:fill="FFFFFF"/>
            <w:tcMar>
              <w:top w:w="80" w:type="dxa"/>
              <w:bottom w:w="80" w:type="dxa"/>
              <w:left w:w="130" w:type="dxa"/>
              <w:right w:w="130" w:type="dxa"/>
            </w:tcMar>
          </w:tcPr>
          <w:p>
            <w:pPr>
              <w:spacing w:line="276" w:lineRule="auto"/>
            </w:pPr>
            <w:r>
              <w:rPr>
                <w:color w:val="323232"/>
                <w:sz w:val="18"/>
              </w:rPr>
              <w:t>Member 3</w:t>
            </w:r>
          </w:p>
        </w:tc>
        <w:tc>
          <w:tcPr>
            <w:tcW w:type="dxa" w:w="2592"/>
            <w:shd w:val="clear" w:color="auto" w:fill="FFFFFF"/>
            <w:tcMar>
              <w:top w:w="80" w:type="dxa"/>
              <w:bottom w:w="80" w:type="dxa"/>
              <w:left w:w="130" w:type="dxa"/>
              <w:right w:w="130" w:type="dxa"/>
            </w:tcMar>
          </w:tcPr>
          <w:p>
            <w:pPr>
              <w:spacing w:line="276" w:lineRule="auto"/>
            </w:pPr>
            <w:r>
              <w:rPr>
                <w:color w:val="323232"/>
                <w:sz w:val="18"/>
              </w:rPr>
              <w:t>Retrieval &amp; Reranking Engineer</w:t>
            </w:r>
          </w:p>
        </w:tc>
        <w:tc>
          <w:tcPr>
            <w:tcW w:type="dxa" w:w="4752"/>
            <w:shd w:val="clear" w:color="auto" w:fill="FFFFFF"/>
            <w:tcMar>
              <w:top w:w="80" w:type="dxa"/>
              <w:bottom w:w="80" w:type="dxa"/>
              <w:left w:w="130" w:type="dxa"/>
              <w:right w:w="130" w:type="dxa"/>
            </w:tcMar>
          </w:tcPr>
          <w:p>
            <w:pPr>
              <w:spacing w:line="276" w:lineRule="auto"/>
            </w:pPr>
            <w:r>
              <w:rPr>
                <w:color w:val="323232"/>
                <w:sz w:val="18"/>
              </w:rPr>
              <w:t>Vector database setup (Chroma/Qdrant), dense embeddings (bge-m3), sparse BM25 index, cross-encoder reranker integration (bge-reranker-large).</w:t>
            </w:r>
          </w:p>
        </w:tc>
      </w:tr>
      <w:tr>
        <w:tc>
          <w:tcPr>
            <w:tcW w:type="dxa" w:w="2016"/>
            <w:shd w:val="clear" w:color="auto" w:fill="F9FAFB"/>
            <w:tcMar>
              <w:top w:w="80" w:type="dxa"/>
              <w:bottom w:w="80" w:type="dxa"/>
              <w:left w:w="130" w:type="dxa"/>
              <w:right w:w="130" w:type="dxa"/>
            </w:tcMar>
          </w:tcPr>
          <w:p>
            <w:pPr>
              <w:spacing w:line="276" w:lineRule="auto"/>
            </w:pPr>
            <w:r>
              <w:rPr>
                <w:color w:val="323232"/>
                <w:sz w:val="18"/>
              </w:rPr>
              <w:t>Member 4</w:t>
            </w:r>
          </w:p>
        </w:tc>
        <w:tc>
          <w:tcPr>
            <w:tcW w:type="dxa" w:w="2592"/>
            <w:shd w:val="clear" w:color="auto" w:fill="F9FAFB"/>
            <w:tcMar>
              <w:top w:w="80" w:type="dxa"/>
              <w:bottom w:w="80" w:type="dxa"/>
              <w:left w:w="130" w:type="dxa"/>
              <w:right w:w="130" w:type="dxa"/>
            </w:tcMar>
          </w:tcPr>
          <w:p>
            <w:pPr>
              <w:spacing w:line="276" w:lineRule="auto"/>
            </w:pPr>
            <w:r>
              <w:rPr>
                <w:color w:val="323232"/>
                <w:sz w:val="18"/>
              </w:rPr>
              <w:t>Guardrails &amp; Generation Lead</w:t>
            </w:r>
          </w:p>
        </w:tc>
        <w:tc>
          <w:tcPr>
            <w:tcW w:type="dxa" w:w="4752"/>
            <w:shd w:val="clear" w:color="auto" w:fill="F9FAFB"/>
            <w:tcMar>
              <w:top w:w="80" w:type="dxa"/>
              <w:bottom w:w="80" w:type="dxa"/>
              <w:left w:w="130" w:type="dxa"/>
              <w:right w:w="130" w:type="dxa"/>
            </w:tcMar>
          </w:tcPr>
          <w:p>
            <w:pPr>
              <w:spacing w:line="276" w:lineRule="auto"/>
            </w:pPr>
            <w:r>
              <w:rPr>
                <w:color w:val="323232"/>
                <w:sz w:val="18"/>
              </w:rPr>
              <w:t>Synthesizer prompt engineering, inline citation mapping to specific tables/paragraphs, active hallucination guardrail &amp; self-consistency filters.</w:t>
            </w:r>
          </w:p>
        </w:tc>
      </w:tr>
      <w:tr>
        <w:tc>
          <w:tcPr>
            <w:tcW w:type="dxa" w:w="2016"/>
            <w:shd w:val="clear" w:color="auto" w:fill="FFFFFF"/>
            <w:tcMar>
              <w:top w:w="80" w:type="dxa"/>
              <w:bottom w:w="80" w:type="dxa"/>
              <w:left w:w="130" w:type="dxa"/>
              <w:right w:w="130" w:type="dxa"/>
            </w:tcMar>
          </w:tcPr>
          <w:p>
            <w:pPr>
              <w:spacing w:line="276" w:lineRule="auto"/>
            </w:pPr>
            <w:r>
              <w:rPr>
                <w:color w:val="323232"/>
                <w:sz w:val="18"/>
              </w:rPr>
              <w:t>Member 5</w:t>
            </w:r>
          </w:p>
        </w:tc>
        <w:tc>
          <w:tcPr>
            <w:tcW w:type="dxa" w:w="2592"/>
            <w:shd w:val="clear" w:color="auto" w:fill="FFFFFF"/>
            <w:tcMar>
              <w:top w:w="80" w:type="dxa"/>
              <w:bottom w:w="80" w:type="dxa"/>
              <w:left w:w="130" w:type="dxa"/>
              <w:right w:w="130" w:type="dxa"/>
            </w:tcMar>
          </w:tcPr>
          <w:p>
            <w:pPr>
              <w:spacing w:line="276" w:lineRule="auto"/>
            </w:pPr>
            <w:r>
              <w:rPr>
                <w:color w:val="323232"/>
                <w:sz w:val="18"/>
              </w:rPr>
              <w:t>Evaluation Lead &amp; Benchmarking Scientist</w:t>
            </w:r>
          </w:p>
        </w:tc>
        <w:tc>
          <w:tcPr>
            <w:tcW w:type="dxa" w:w="4752"/>
            <w:shd w:val="clear" w:color="auto" w:fill="FFFFFF"/>
            <w:tcMar>
              <w:top w:w="80" w:type="dxa"/>
              <w:bottom w:w="80" w:type="dxa"/>
              <w:left w:w="130" w:type="dxa"/>
              <w:right w:w="130" w:type="dxa"/>
            </w:tcMar>
          </w:tcPr>
          <w:p>
            <w:pPr>
              <w:spacing w:line="276" w:lineRule="auto"/>
            </w:pPr>
            <w:r>
              <w:rPr>
                <w:color w:val="323232"/>
                <w:sz w:val="18"/>
              </w:rPr>
              <w:t>Automated RAGAS / LLM-as-a-judge test suite, FinQA/TAT-QA dataset ingestion, cost/latency/hop-count profiling, error taxonomy analysis.</w:t>
            </w:r>
          </w:p>
        </w:tc>
      </w:tr>
    </w:tbl>
    <w:p>
      <w:pPr>
        <w:spacing w:after="120"/>
      </w:pPr>
    </w:p>
    <w:p>
      <w:pPr>
        <w:keepNext/>
        <w:spacing w:before="320" w:after="120"/>
      </w:pPr>
      <w:r>
        <w:rPr>
          <w:rFonts w:ascii="Georgia" w:hAnsi="Georgia"/>
          <w:b/>
          <w:color w:val="184C78"/>
          <w:sz w:val="28"/>
        </w:rPr>
        <w:t>8. Rubric Scoring Simulation: Expected Performance</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184C78"/>
            <w:tcMar>
              <w:top w:w="110" w:type="dxa"/>
              <w:bottom w:w="110" w:type="dxa"/>
              <w:left w:w="130" w:type="dxa"/>
              <w:right w:w="130" w:type="dxa"/>
            </w:tcMar>
          </w:tcPr>
          <w:p>
            <w:r>
              <w:rPr>
                <w:b/>
                <w:color w:val="FFFFFF"/>
                <w:sz w:val="19"/>
              </w:rPr>
              <w:t>Official Rubric Criterion</w:t>
            </w:r>
          </w:p>
        </w:tc>
        <w:tc>
          <w:tcPr>
            <w:tcW w:type="dxa" w:w="1584"/>
            <w:shd w:val="clear" w:color="auto" w:fill="184C78"/>
            <w:tcMar>
              <w:top w:w="110" w:type="dxa"/>
              <w:bottom w:w="110" w:type="dxa"/>
              <w:left w:w="130" w:type="dxa"/>
              <w:right w:w="130" w:type="dxa"/>
            </w:tcMar>
          </w:tcPr>
          <w:p>
            <w:r>
              <w:rPr>
                <w:b/>
                <w:color w:val="FFFFFF"/>
                <w:sz w:val="19"/>
              </w:rPr>
              <w:t>Projected Grade</w:t>
            </w:r>
          </w:p>
        </w:tc>
        <w:tc>
          <w:tcPr>
            <w:tcW w:type="dxa" w:w="5184"/>
            <w:shd w:val="clear" w:color="auto" w:fill="184C78"/>
            <w:tcMar>
              <w:top w:w="110" w:type="dxa"/>
              <w:bottom w:w="110" w:type="dxa"/>
              <w:left w:w="130" w:type="dxa"/>
              <w:right w:w="130" w:type="dxa"/>
            </w:tcMar>
          </w:tcPr>
          <w:p>
            <w:r>
              <w:rPr>
                <w:b/>
                <w:color w:val="FFFFFF"/>
                <w:sz w:val="19"/>
              </w:rPr>
              <w:t>Evaluation Rationale</w:t>
            </w:r>
          </w:p>
        </w:tc>
      </w:tr>
      <w:tr>
        <w:tc>
          <w:tcPr>
            <w:tcW w:type="dxa" w:w="2592"/>
            <w:shd w:val="clear" w:color="auto" w:fill="FFFFFF"/>
            <w:tcMar>
              <w:top w:w="80" w:type="dxa"/>
              <w:bottom w:w="80" w:type="dxa"/>
              <w:left w:w="130" w:type="dxa"/>
              <w:right w:w="130" w:type="dxa"/>
            </w:tcMar>
          </w:tcPr>
          <w:p>
            <w:pPr>
              <w:spacing w:line="276" w:lineRule="auto"/>
            </w:pPr>
            <w:r>
              <w:rPr>
                <w:color w:val="323232"/>
                <w:sz w:val="18"/>
              </w:rPr>
              <w:t>1. Project Scope &amp; Depth</w:t>
            </w:r>
          </w:p>
        </w:tc>
        <w:tc>
          <w:tcPr>
            <w:tcW w:type="dxa" w:w="1584"/>
            <w:shd w:val="clear" w:color="auto" w:fill="FFFFFF"/>
            <w:tcMar>
              <w:top w:w="80" w:type="dxa"/>
              <w:bottom w:w="80" w:type="dxa"/>
              <w:left w:w="130" w:type="dxa"/>
              <w:right w:w="130" w:type="dxa"/>
            </w:tcMar>
          </w:tcPr>
          <w:p>
            <w:pPr>
              <w:spacing w:line="276" w:lineRule="auto"/>
            </w:pPr>
            <w:r>
              <w:rPr>
                <w:color w:val="323232"/>
                <w:sz w:val="18"/>
              </w:rPr>
              <w:t>A / A+</w:t>
            </w:r>
          </w:p>
        </w:tc>
        <w:tc>
          <w:tcPr>
            <w:tcW w:type="dxa" w:w="5184"/>
            <w:shd w:val="clear" w:color="auto" w:fill="FFFFFF"/>
            <w:tcMar>
              <w:top w:w="80" w:type="dxa"/>
              <w:bottom w:w="80" w:type="dxa"/>
              <w:left w:w="130" w:type="dxa"/>
              <w:right w:w="130" w:type="dxa"/>
            </w:tcMar>
          </w:tcPr>
          <w:p>
            <w:pPr>
              <w:spacing w:line="276" w:lineRule="auto"/>
            </w:pPr>
            <w:r>
              <w:rPr>
                <w:color w:val="323232"/>
                <w:sz w:val="18"/>
              </w:rPr>
              <w:t>Solves a notorious real-world problem (financial cross-statement reasoning) rather than a toy chatbot. Scope clearly spans multi-week team effort.</w:t>
            </w:r>
          </w:p>
        </w:tc>
      </w:tr>
      <w:tr>
        <w:tc>
          <w:tcPr>
            <w:tcW w:type="dxa" w:w="2592"/>
            <w:shd w:val="clear" w:color="auto" w:fill="F9FAFB"/>
            <w:tcMar>
              <w:top w:w="80" w:type="dxa"/>
              <w:bottom w:w="80" w:type="dxa"/>
              <w:left w:w="130" w:type="dxa"/>
              <w:right w:w="130" w:type="dxa"/>
            </w:tcMar>
          </w:tcPr>
          <w:p>
            <w:pPr>
              <w:spacing w:line="276" w:lineRule="auto"/>
            </w:pPr>
            <w:r>
              <w:rPr>
                <w:color w:val="323232"/>
                <w:sz w:val="18"/>
              </w:rPr>
              <w:t>2. Syllabus Alignment</w:t>
            </w:r>
          </w:p>
        </w:tc>
        <w:tc>
          <w:tcPr>
            <w:tcW w:type="dxa" w:w="1584"/>
            <w:shd w:val="clear" w:color="auto" w:fill="F9FAFB"/>
            <w:tcMar>
              <w:top w:w="80" w:type="dxa"/>
              <w:bottom w:w="80" w:type="dxa"/>
              <w:left w:w="130" w:type="dxa"/>
              <w:right w:w="130" w:type="dxa"/>
            </w:tcMar>
          </w:tcPr>
          <w:p>
            <w:pPr>
              <w:spacing w:line="276" w:lineRule="auto"/>
            </w:pPr>
            <w:r>
              <w:rPr>
                <w:color w:val="323232"/>
                <w:sz w:val="18"/>
              </w:rPr>
              <w:t>A+</w:t>
            </w:r>
          </w:p>
        </w:tc>
        <w:tc>
          <w:tcPr>
            <w:tcW w:type="dxa" w:w="5184"/>
            <w:shd w:val="clear" w:color="auto" w:fill="F9FAFB"/>
            <w:tcMar>
              <w:top w:w="80" w:type="dxa"/>
              <w:bottom w:w="80" w:type="dxa"/>
              <w:left w:w="130" w:type="dxa"/>
              <w:right w:w="130" w:type="dxa"/>
            </w:tcMar>
          </w:tcPr>
          <w:p>
            <w:pPr>
              <w:spacing w:line="276" w:lineRule="auto"/>
            </w:pPr>
            <w:r>
              <w:rPr>
                <w:color w:val="323232"/>
                <w:sz w:val="18"/>
              </w:rPr>
              <w:t>Synthesizes Session 5 (Inference &amp; Cost), Session 6 (Advanced RAG &amp; Reranking), and Session 7 (Agentic Orchestration &amp; Reflection Loops).</w:t>
            </w:r>
          </w:p>
        </w:tc>
      </w:tr>
      <w:tr>
        <w:tc>
          <w:tcPr>
            <w:tcW w:type="dxa" w:w="2592"/>
            <w:shd w:val="clear" w:color="auto" w:fill="FFFFFF"/>
            <w:tcMar>
              <w:top w:w="80" w:type="dxa"/>
              <w:bottom w:w="80" w:type="dxa"/>
              <w:left w:w="130" w:type="dxa"/>
              <w:right w:w="130" w:type="dxa"/>
            </w:tcMar>
          </w:tcPr>
          <w:p>
            <w:pPr>
              <w:spacing w:line="276" w:lineRule="auto"/>
            </w:pPr>
            <w:r>
              <w:rPr>
                <w:color w:val="323232"/>
                <w:sz w:val="18"/>
              </w:rPr>
              <w:t>3. Technical Correctness</w:t>
            </w:r>
          </w:p>
        </w:tc>
        <w:tc>
          <w:tcPr>
            <w:tcW w:type="dxa" w:w="1584"/>
            <w:shd w:val="clear" w:color="auto" w:fill="FFFFFF"/>
            <w:tcMar>
              <w:top w:w="80" w:type="dxa"/>
              <w:bottom w:w="80" w:type="dxa"/>
              <w:left w:w="130" w:type="dxa"/>
              <w:right w:w="130" w:type="dxa"/>
            </w:tcMar>
          </w:tcPr>
          <w:p>
            <w:pPr>
              <w:spacing w:line="276" w:lineRule="auto"/>
            </w:pPr>
            <w:r>
              <w:rPr>
                <w:color w:val="323232"/>
                <w:sz w:val="18"/>
              </w:rPr>
              <w:t>A</w:t>
            </w:r>
          </w:p>
        </w:tc>
        <w:tc>
          <w:tcPr>
            <w:tcW w:type="dxa" w:w="5184"/>
            <w:shd w:val="clear" w:color="auto" w:fill="FFFFFF"/>
            <w:tcMar>
              <w:top w:w="80" w:type="dxa"/>
              <w:bottom w:w="80" w:type="dxa"/>
              <w:left w:w="130" w:type="dxa"/>
              <w:right w:w="130" w:type="dxa"/>
            </w:tcMar>
          </w:tcPr>
          <w:p>
            <w:pPr>
              <w:spacing w:line="276" w:lineRule="auto"/>
            </w:pPr>
            <w:r>
              <w:rPr>
                <w:color w:val="323232"/>
                <w:sz w:val="18"/>
              </w:rPr>
              <w:t>Explicit state machine (LangGraph), strict loop termination bounds (max_hops = 3), modular hybrid search and cross-encoder reranker.</w:t>
            </w:r>
          </w:p>
        </w:tc>
      </w:tr>
      <w:tr>
        <w:tc>
          <w:tcPr>
            <w:tcW w:type="dxa" w:w="2592"/>
            <w:shd w:val="clear" w:color="auto" w:fill="F9FAFB"/>
            <w:tcMar>
              <w:top w:w="80" w:type="dxa"/>
              <w:bottom w:w="80" w:type="dxa"/>
              <w:left w:w="130" w:type="dxa"/>
              <w:right w:w="130" w:type="dxa"/>
            </w:tcMar>
          </w:tcPr>
          <w:p>
            <w:pPr>
              <w:spacing w:line="276" w:lineRule="auto"/>
            </w:pPr>
            <w:r>
              <w:rPr>
                <w:color w:val="323232"/>
                <w:sz w:val="18"/>
              </w:rPr>
              <w:t>4. Comparative Analysis</w:t>
            </w:r>
          </w:p>
        </w:tc>
        <w:tc>
          <w:tcPr>
            <w:tcW w:type="dxa" w:w="1584"/>
            <w:shd w:val="clear" w:color="auto" w:fill="F9FAFB"/>
            <w:tcMar>
              <w:top w:w="80" w:type="dxa"/>
              <w:bottom w:w="80" w:type="dxa"/>
              <w:left w:w="130" w:type="dxa"/>
              <w:right w:w="130" w:type="dxa"/>
            </w:tcMar>
          </w:tcPr>
          <w:p>
            <w:pPr>
              <w:spacing w:line="276" w:lineRule="auto"/>
            </w:pPr>
            <w:r>
              <w:rPr>
                <w:color w:val="323232"/>
                <w:sz w:val="18"/>
              </w:rPr>
              <w:t>A+</w:t>
            </w:r>
          </w:p>
        </w:tc>
        <w:tc>
          <w:tcPr>
            <w:tcW w:type="dxa" w:w="5184"/>
            <w:shd w:val="clear" w:color="auto" w:fill="F9FAFB"/>
            <w:tcMar>
              <w:top w:w="80" w:type="dxa"/>
              <w:bottom w:w="80" w:type="dxa"/>
              <w:left w:w="130" w:type="dxa"/>
              <w:right w:w="130" w:type="dxa"/>
            </w:tcMar>
          </w:tcPr>
          <w:p>
            <w:pPr>
              <w:spacing w:line="276" w:lineRule="auto"/>
            </w:pPr>
            <w:r>
              <w:rPr>
                <w:color w:val="323232"/>
                <w:sz w:val="18"/>
              </w:rPr>
              <w:t>Exceeds the 2-alternative minimum by benchmarking 3 distinct systems (Naive vs Advanced Single-Pass vs Adaptive Multi-Hop) on accuracy, cost, and latency.</w:t>
            </w:r>
          </w:p>
        </w:tc>
      </w:tr>
      <w:tr>
        <w:tc>
          <w:tcPr>
            <w:tcW w:type="dxa" w:w="2592"/>
            <w:shd w:val="clear" w:color="auto" w:fill="FFFFFF"/>
            <w:tcMar>
              <w:top w:w="80" w:type="dxa"/>
              <w:bottom w:w="80" w:type="dxa"/>
              <w:left w:w="130" w:type="dxa"/>
              <w:right w:w="130" w:type="dxa"/>
            </w:tcMar>
          </w:tcPr>
          <w:p>
            <w:pPr>
              <w:spacing w:line="276" w:lineRule="auto"/>
            </w:pPr>
            <w:r>
              <w:rPr>
                <w:color w:val="323232"/>
                <w:sz w:val="18"/>
              </w:rPr>
              <w:t>5. Evaluation &amp; Reflection</w:t>
            </w:r>
          </w:p>
        </w:tc>
        <w:tc>
          <w:tcPr>
            <w:tcW w:type="dxa" w:w="1584"/>
            <w:shd w:val="clear" w:color="auto" w:fill="FFFFFF"/>
            <w:tcMar>
              <w:top w:w="80" w:type="dxa"/>
              <w:bottom w:w="80" w:type="dxa"/>
              <w:left w:w="130" w:type="dxa"/>
              <w:right w:w="130" w:type="dxa"/>
            </w:tcMar>
          </w:tcPr>
          <w:p>
            <w:pPr>
              <w:spacing w:line="276" w:lineRule="auto"/>
            </w:pPr>
            <w:r>
              <w:rPr>
                <w:color w:val="323232"/>
                <w:sz w:val="18"/>
              </w:rPr>
              <w:t>A+</w:t>
            </w:r>
          </w:p>
        </w:tc>
        <w:tc>
          <w:tcPr>
            <w:tcW w:type="dxa" w:w="5184"/>
            <w:shd w:val="clear" w:color="auto" w:fill="FFFFFF"/>
            <w:tcMar>
              <w:top w:w="80" w:type="dxa"/>
              <w:bottom w:w="80" w:type="dxa"/>
              <w:left w:w="130" w:type="dxa"/>
              <w:right w:w="130" w:type="dxa"/>
            </w:tcMar>
          </w:tcPr>
          <w:p>
            <w:pPr>
              <w:spacing w:line="276" w:lineRule="auto"/>
            </w:pPr>
            <w:r>
              <w:rPr>
                <w:color w:val="323232"/>
                <w:sz w:val="18"/>
              </w:rPr>
              <w:t>Integrates rigorous quantitative metrics (RAGAS, latency, cost) with established benchmarks (FinQA/TAT-QA) and qualitative error dissection.</w:t>
            </w:r>
          </w:p>
        </w:tc>
      </w:tr>
      <w:tr>
        <w:tc>
          <w:tcPr>
            <w:tcW w:type="dxa" w:w="2592"/>
            <w:shd w:val="clear" w:color="auto" w:fill="F9FAFB"/>
            <w:tcMar>
              <w:top w:w="80" w:type="dxa"/>
              <w:bottom w:w="80" w:type="dxa"/>
              <w:left w:w="130" w:type="dxa"/>
              <w:right w:w="130" w:type="dxa"/>
            </w:tcMar>
          </w:tcPr>
          <w:p>
            <w:pPr>
              <w:spacing w:line="276" w:lineRule="auto"/>
            </w:pPr>
            <w:r>
              <w:rPr>
                <w:color w:val="323232"/>
                <w:sz w:val="18"/>
              </w:rPr>
              <w:t>6. Safety &amp; Guardrails</w:t>
            </w:r>
          </w:p>
        </w:tc>
        <w:tc>
          <w:tcPr>
            <w:tcW w:type="dxa" w:w="1584"/>
            <w:shd w:val="clear" w:color="auto" w:fill="F9FAFB"/>
            <w:tcMar>
              <w:top w:w="80" w:type="dxa"/>
              <w:bottom w:w="80" w:type="dxa"/>
              <w:left w:w="130" w:type="dxa"/>
              <w:right w:w="130" w:type="dxa"/>
            </w:tcMar>
          </w:tcPr>
          <w:p>
            <w:pPr>
              <w:spacing w:line="276" w:lineRule="auto"/>
            </w:pPr>
            <w:r>
              <w:rPr>
                <w:color w:val="323232"/>
                <w:sz w:val="18"/>
              </w:rPr>
              <w:t>A</w:t>
            </w:r>
          </w:p>
        </w:tc>
        <w:tc>
          <w:tcPr>
            <w:tcW w:type="dxa" w:w="5184"/>
            <w:shd w:val="clear" w:color="auto" w:fill="F9FAFB"/>
            <w:tcMar>
              <w:top w:w="80" w:type="dxa"/>
              <w:bottom w:w="80" w:type="dxa"/>
              <w:left w:w="130" w:type="dxa"/>
              <w:right w:w="130" w:type="dxa"/>
            </w:tcMar>
          </w:tcPr>
          <w:p>
            <w:pPr>
              <w:spacing w:line="276" w:lineRule="auto"/>
            </w:pPr>
            <w:r>
              <w:rPr>
                <w:color w:val="323232"/>
                <w:sz w:val="18"/>
              </w:rPr>
              <w:t>Evidence sufficiency verification prevents premature generation; citation hallucination filter rejects ungrounded figures.</w:t>
            </w:r>
          </w:p>
        </w:tc>
      </w:tr>
      <w:tr>
        <w:tc>
          <w:tcPr>
            <w:tcW w:type="dxa" w:w="2592"/>
            <w:shd w:val="clear" w:color="auto" w:fill="FFFFFF"/>
            <w:tcMar>
              <w:top w:w="80" w:type="dxa"/>
              <w:bottom w:w="80" w:type="dxa"/>
              <w:left w:w="130" w:type="dxa"/>
              <w:right w:w="130" w:type="dxa"/>
            </w:tcMar>
          </w:tcPr>
          <w:p>
            <w:pPr>
              <w:spacing w:line="276" w:lineRule="auto"/>
            </w:pPr>
            <w:r>
              <w:rPr>
                <w:color w:val="323232"/>
                <w:sz w:val="18"/>
              </w:rPr>
              <w:t>7. Reproducibility &amp; Teamwork</w:t>
            </w:r>
          </w:p>
        </w:tc>
        <w:tc>
          <w:tcPr>
            <w:tcW w:type="dxa" w:w="1584"/>
            <w:shd w:val="clear" w:color="auto" w:fill="FFFFFF"/>
            <w:tcMar>
              <w:top w:w="80" w:type="dxa"/>
              <w:bottom w:w="80" w:type="dxa"/>
              <w:left w:w="130" w:type="dxa"/>
              <w:right w:w="130" w:type="dxa"/>
            </w:tcMar>
          </w:tcPr>
          <w:p>
            <w:pPr>
              <w:spacing w:line="276" w:lineRule="auto"/>
            </w:pPr>
            <w:r>
              <w:rPr>
                <w:color w:val="323232"/>
                <w:sz w:val="18"/>
              </w:rPr>
              <w:t>A</w:t>
            </w:r>
          </w:p>
        </w:tc>
        <w:tc>
          <w:tcPr>
            <w:tcW w:type="dxa" w:w="5184"/>
            <w:shd w:val="clear" w:color="auto" w:fill="FFFFFF"/>
            <w:tcMar>
              <w:top w:w="80" w:type="dxa"/>
              <w:bottom w:w="80" w:type="dxa"/>
              <w:left w:w="130" w:type="dxa"/>
              <w:right w:w="130" w:type="dxa"/>
            </w:tcMar>
          </w:tcPr>
          <w:p>
            <w:pPr>
              <w:spacing w:line="276" w:lineRule="auto"/>
            </w:pPr>
            <w:r>
              <w:rPr>
                <w:color w:val="323232"/>
                <w:sz w:val="18"/>
              </w:rPr>
              <w:t>Balanced 5-member ownership matrix, reproducible execution scripts, fixed random seeds, and structured configuration files.</w:t>
            </w:r>
          </w:p>
        </w:tc>
      </w:tr>
    </w:tbl>
    <w:p>
      <w:pPr>
        <w:spacing w:after="120"/>
      </w:pPr>
    </w:p>
    <w:p>
      <w:pPr>
        <w:keepNext/>
        <w:spacing w:before="320" w:after="120"/>
      </w:pPr>
      <w:r>
        <w:rPr>
          <w:rFonts w:ascii="Georgia" w:hAnsi="Georgia"/>
          <w:b/>
          <w:color w:val="184C78"/>
          <w:sz w:val="28"/>
        </w:rPr>
        <w:t>9. Strategic Questions for Professor Consultation (in 4 Days)</w:t>
      </w:r>
    </w:p>
    <w:p>
      <w:pPr>
        <w:keepNext/>
        <w:spacing w:before="240" w:after="80"/>
      </w:pPr>
      <w:r>
        <w:rPr>
          <w:rFonts w:ascii="Georgia" w:hAnsi="Georgia"/>
          <w:b/>
          <w:color w:val="4682B4"/>
          <w:sz w:val="24"/>
        </w:rPr>
        <w:t>Question 1: Positioning &amp; Report Emphasis</w:t>
      </w:r>
    </w:p>
    <w:p>
      <w:pPr>
        <w:spacing w:before="100" w:after="120" w:line="276" w:lineRule="auto"/>
        <w:ind w:left="576" w:right="576"/>
      </w:pPr>
      <w:r>
        <w:rPr>
          <w:i/>
          <w:color w:val="282850"/>
        </w:rPr>
        <w:t>“Professor, our project is structured as an Empirical Comparative Study evaluating three RAG strategies (Naive vs Advanced Single-Pass vs Adaptive Multi-Hop) on SEC 10-K financial disclosures. Should our final 10-page report emphasize system architecture diagrams and prototype walk-throughs, or statistical benchmark tables and Pareto trade-off curves?”</w:t>
      </w:r>
    </w:p>
    <w:p>
      <w:pPr>
        <w:keepNext/>
        <w:spacing w:before="240" w:after="80"/>
      </w:pPr>
      <w:r>
        <w:rPr>
          <w:rFonts w:ascii="Georgia" w:hAnsi="Georgia"/>
          <w:b/>
          <w:color w:val="4682B4"/>
          <w:sz w:val="24"/>
        </w:rPr>
        <w:t>Question 2: Agentic Loop Scope</w:t>
      </w:r>
    </w:p>
    <w:p>
      <w:pPr>
        <w:spacing w:before="100" w:after="120" w:line="276" w:lineRule="auto"/>
        <w:ind w:left="576" w:right="576"/>
      </w:pPr>
      <w:r>
        <w:rPr>
          <w:i/>
          <w:color w:val="282850"/>
        </w:rPr>
        <w:t>“For our adaptive loop, we are implementing query decomposition and an evidence sufficiency check (Self-RAG style) bounded by 3 hops in LangGraph. Is an LLM-based sufficiency critic sufficient for the advanced agentic scope, or would you recommend adding a graph-based structure (like GraphRAG / LightRAG) or dynamic routing between single-hop and multi-hop paths?”</w:t>
      </w:r>
    </w:p>
    <w:p>
      <w:pPr>
        <w:keepNext/>
        <w:spacing w:before="240" w:after="80"/>
      </w:pPr>
      <w:r>
        <w:rPr>
          <w:rFonts w:ascii="Georgia" w:hAnsi="Georgia"/>
          <w:b/>
          <w:color w:val="4682B4"/>
          <w:sz w:val="24"/>
        </w:rPr>
        <w:t>Question 3: Evaluation Benchmark Rigor</w:t>
      </w:r>
    </w:p>
    <w:p>
      <w:pPr>
        <w:spacing w:before="100" w:after="120" w:line="276" w:lineRule="auto"/>
        <w:ind w:left="576" w:right="576"/>
      </w:pPr>
      <w:r>
        <w:rPr>
          <w:i/>
          <w:color w:val="282850"/>
        </w:rPr>
        <w:t>“To ensure reproducible evaluation, we plan to combine the established FinQA / TAT-QA benchmarks with 50 curated real-world SEC 10-K cross-section questions. Does this test set balance satisfy your expectations for ground-truth rigor?”</w:t>
      </w:r>
    </w:p>
    <w:p>
      <w:pPr>
        <w:keepNext/>
        <w:spacing w:before="240" w:after="80"/>
      </w:pPr>
      <w:r>
        <w:rPr>
          <w:rFonts w:ascii="Georgia" w:hAnsi="Georgia"/>
          <w:b/>
          <w:color w:val="4682B4"/>
          <w:sz w:val="24"/>
        </w:rPr>
        <w:t>Question 4: Deployment Trade-Offs</w:t>
      </w:r>
    </w:p>
    <w:p>
      <w:pPr>
        <w:spacing w:before="100" w:after="120" w:line="276" w:lineRule="auto"/>
        <w:ind w:left="576" w:right="576"/>
      </w:pPr>
      <w:r>
        <w:rPr>
          <w:i/>
          <w:color w:val="282850"/>
        </w:rPr>
        <w:t>“Multi-hop RAG naturally incurs higher latency and token costs due to iterative LLM calls. How much weight do you place on practical deployment trade-offs (e.g., Pareto efficiency curves between RAGAS faithfulness vs latency/cost) in the final reflective analysis?”</w:t>
      </w:r>
    </w:p>
    <w:p>
      <w:r>
        <w:br w:type="page"/>
      </w:r>
    </w:p>
    <w:p>
      <w:pPr>
        <w:spacing w:before="0" w:after="40"/>
        <w:jc w:val="center"/>
      </w:pPr>
      <w:r>
        <w:rPr>
          <w:rFonts w:ascii="Georgia" w:hAnsi="Georgia"/>
          <w:b/>
          <w:color w:val="184C78"/>
          <w:sz w:val="44"/>
        </w:rPr>
        <w:t>Appendix: Complete Team Pitch &amp; Buy-In Speech</w:t>
      </w:r>
    </w:p>
    <w:p>
      <w:pPr>
        <w:spacing w:before="0" w:after="320"/>
        <w:jc w:val="center"/>
      </w:pPr>
      <w:r>
        <w:rPr>
          <w:rFonts w:ascii="Calibri" w:hAnsi="Calibri"/>
          <w:i/>
          <w:color w:val="4682B4"/>
          <w:sz w:val="23"/>
        </w:rPr>
        <w:t>3–5 Minute Spoken Presentation for Today's Team Sync</w:t>
      </w:r>
    </w:p>
    <w:p>
      <w:pPr>
        <w:keepNext/>
        <w:spacing w:before="160" w:after="40"/>
      </w:pPr>
      <w:r>
        <w:rPr>
          <w:rFonts w:ascii="Georgia" w:hAnsi="Georgia"/>
          <w:b/>
          <w:color w:val="4682B4"/>
          <w:sz w:val="24"/>
        </w:rPr>
        <w:t>1. Hook &amp; Framing (0:00 - 0:40)</w:t>
      </w:r>
    </w:p>
    <w:p>
      <w:pPr>
        <w:spacing w:before="0" w:after="160" w:line="276" w:lineRule="auto"/>
      </w:pPr>
      <w:r>
        <w:rPr>
          <w:rFonts w:ascii="Calibri" w:hAnsi="Calibri"/>
          <w:color w:val="323232"/>
          <w:sz w:val="21"/>
        </w:rPr>
        <w:t>“Hey everyone, thanks for jumping on. As we saw in the chat, Aryan proposed exploring Adaptive Multi-Hop RAG for complex QA, and Amanda raised a really valid question about whether this should be domain-agnostic or an applied study.</w:t>
        <w:br/>
        <w:br/>
        <w:t>I’ve spent time mapping this out against the professor's official rubric, and I want to share why this is hands-down our strongest path to an A/A+. It gives us a legitimate technical problem, makes our benchmarking straightforward, and most importantly, it splits cleanly across all five of us without anyone getting bottlenecked.”</w:t>
      </w:r>
    </w:p>
    <w:p>
      <w:pPr>
        <w:keepNext/>
        <w:spacing w:before="160" w:after="40"/>
      </w:pPr>
      <w:r>
        <w:rPr>
          <w:rFonts w:ascii="Georgia" w:hAnsi="Georgia"/>
          <w:b/>
          <w:color w:val="4682B4"/>
          <w:sz w:val="24"/>
        </w:rPr>
        <w:t>2. Tackling the Domain &amp; Amanda’s Question (0:40 - 1:30)</w:t>
      </w:r>
    </w:p>
    <w:p>
      <w:pPr>
        <w:spacing w:before="0" w:after="160" w:line="276" w:lineRule="auto"/>
      </w:pPr>
      <w:r>
        <w:rPr>
          <w:rFonts w:ascii="Calibri" w:hAnsi="Calibri"/>
          <w:color w:val="323232"/>
          <w:sz w:val="21"/>
        </w:rPr>
        <w:t>“To answer Amanda’s question right off the bat: instead of trying to claim the system is 'domain-agnostic'—which professors love to challenge because you have to prove it across multiple datasets—we should frame this as an Applied Study on SEC 10-K Financial Disclosures.</w:t>
        <w:br/>
        <w:br/>
        <w:t>Why financial filings? Because they are the ultimate stress test for RAG. If you ask a real financial question like: 'Did the 2024 margin increase offset foreign exchange losses in Item 7A, and what debt covenants restrict management’s options?'—standard vector search fails completely.</w:t>
        <w:br/>
        <w:br/>
        <w:t>The evidence isn't in one paragraph. It’s scattered across the MD&amp;A narrative, market risk disclosures, and footnote tables. Standard RAG either misses the connection or hallucinates. This gives us an undeniable, real-world justification for why a multi-hop system is necessary.”</w:t>
      </w:r>
    </w:p>
    <w:p>
      <w:pPr>
        <w:keepNext/>
        <w:spacing w:before="160" w:after="40"/>
      </w:pPr>
      <w:r>
        <w:rPr>
          <w:rFonts w:ascii="Georgia" w:hAnsi="Georgia"/>
          <w:b/>
          <w:color w:val="4682B4"/>
          <w:sz w:val="24"/>
        </w:rPr>
        <w:t>3. Addressing the Financial Background Concern (1:30 - 2:15)</w:t>
      </w:r>
    </w:p>
    <w:p>
      <w:pPr>
        <w:spacing w:before="0" w:after="160" w:line="276" w:lineRule="auto"/>
      </w:pPr>
      <w:r>
        <w:rPr>
          <w:rFonts w:ascii="Calibri" w:hAnsi="Calibri"/>
          <w:color w:val="323232"/>
          <w:sz w:val="21"/>
        </w:rPr>
        <w:t>“Now, I know some of us might be worried because we don't have a finance or accounting background. I want to reassure everyone: this is purely a Computer Science and NLP engineering project, not an accounting test.</w:t>
        <w:br/>
        <w:br/>
        <w:t>To our code, a 10-K report is just a 100-page semi-structured document with text and tables. The LLM does the reading; our job is just building the LangGraph pipeline that searches document A, grabs a clue, and searches document B.</w:t>
        <w:br/>
        <w:br/>
        <w:t>Even better: nobody has to invent accounting questions! We are using pre-made academic benchmarks like FinQA from Columbia University, which already come with verified questions and answers. All we do is load them in Python and measure who gets the highest score.”</w:t>
      </w:r>
    </w:p>
    <w:p>
      <w:pPr>
        <w:keepNext/>
        <w:spacing w:before="160" w:after="40"/>
      </w:pPr>
      <w:r>
        <w:rPr>
          <w:rFonts w:ascii="Georgia" w:hAnsi="Georgia"/>
          <w:b/>
          <w:color w:val="4682B4"/>
          <w:sz w:val="24"/>
        </w:rPr>
        <w:t>4. The 3 Systems &amp; The Metrics We Compare (2:15 - 3:30)</w:t>
      </w:r>
    </w:p>
    <w:p>
      <w:pPr>
        <w:spacing w:before="0" w:after="160" w:line="276" w:lineRule="auto"/>
      </w:pPr>
      <w:r>
        <w:rPr>
          <w:rFonts w:ascii="Calibri" w:hAnsi="Calibri"/>
          <w:color w:val="323232"/>
          <w:sz w:val="21"/>
        </w:rPr>
        <w:t>“The professor strictly requires a comparative benchmark between at least two alternatives. We will deliver three clean tiers:</w:t>
        <w:br/>
        <w:t>• System A is our Naive Baseline: Standard single-pass vector search.</w:t>
        <w:br/>
        <w:t>• System B is Advanced Single-Pass: Hybrid retrieval (Dense BGE-m3 + Sparse BM25) plus a cross-encoder reranker.</w:t>
        <w:br/>
        <w:t>• System C is our Proposed System: Adaptive Multi-Hop RAG with LangGraph loops and sufficiency checks.</w:t>
        <w:br/>
        <w:br/>
        <w:t>How do we prove System C is better? We measure three hard dimensions:</w:t>
        <w:br/>
        <w:t>1. Retrieval Quality: Multi-Hop Evidence Recall. System A and B will fail because they miss the second document. System C will hit 85-95% by searching for the missing clue.</w:t>
        <w:br/>
        <w:t>2. Generation Faithfulness: Using RAGAS, we measure Faithfulness and Citation Precision so numbers come directly from verified tables.</w:t>
        <w:br/>
        <w:t>3. Engineering Trade-Offs (which professors love): We measure Latency and Token Cost. System A is fast and cheap, but inaccurate. System C is slower (~7s) and costs more tokens. This allows us to write an insightful reflection on real-world engineering trade-offs.”</w:t>
      </w:r>
    </w:p>
    <w:p>
      <w:pPr>
        <w:keepNext/>
        <w:spacing w:before="160" w:after="40"/>
      </w:pPr>
      <w:r>
        <w:rPr>
          <w:rFonts w:ascii="Georgia" w:hAnsi="Georgia"/>
          <w:b/>
          <w:color w:val="4682B4"/>
          <w:sz w:val="24"/>
        </w:rPr>
        <w:t>5. Clean 5-Person Workload Split (3:30 - 4:15)</w:t>
      </w:r>
    </w:p>
    <w:p>
      <w:pPr>
        <w:spacing w:before="0" w:after="160" w:line="276" w:lineRule="auto"/>
      </w:pPr>
      <w:r>
        <w:rPr>
          <w:rFonts w:ascii="Calibri" w:hAnsi="Calibri"/>
          <w:color w:val="323232"/>
          <w:sz w:val="21"/>
        </w:rPr>
        <w:t>“The biggest win for us is execution. The rubric strictly grades individual contributions, and this architecture cleanly separates into five independent modules so nobody waits on anyone else:</w:t>
        <w:br/>
        <w:br/>
        <w:t>1. Ingestion Lead: Scrapes 10-K filings and parses HTML/PDF tables into clean Markdown/JSON.</w:t>
        <w:br/>
        <w:t>2. Retrieval Engineer: Sets up the vector database, BGE embeddings, BM25 lexical index, and cross-encoder reranker.</w:t>
        <w:br/>
        <w:t>3. Orchestration &amp; State Machine Lead (I can take this on): Builds the LangGraph flow—query decomposition, sub-query routing, and the evidence sufficiency critic loop.</w:t>
        <w:br/>
        <w:t>4. Guardrails &amp; Generation Lead: Crafts the synthesis prompts, verifies inline citation mapping, and builds the hallucination check.</w:t>
        <w:br/>
        <w:t>5. Evaluation Lead: Automates the RAGAS test suite, runs all three systems through the FinQA benchmark, and profiles latency and cost.</w:t>
        <w:br/>
        <w:br/>
        <w:t>Everyone gets a clear, standalone deliverable for their individual contribution report.”</w:t>
      </w:r>
    </w:p>
    <w:p>
      <w:pPr>
        <w:keepNext/>
        <w:spacing w:before="160" w:after="40"/>
      </w:pPr>
      <w:r>
        <w:rPr>
          <w:rFonts w:ascii="Georgia" w:hAnsi="Georgia"/>
          <w:b/>
          <w:color w:val="4682B4"/>
          <w:sz w:val="24"/>
        </w:rPr>
        <w:t>6. Close &amp; Decision (4:15 - 4:45)</w:t>
      </w:r>
    </w:p>
    <w:p>
      <w:pPr>
        <w:spacing w:before="0" w:after="160" w:line="276" w:lineRule="auto"/>
      </w:pPr>
      <w:r>
        <w:rPr>
          <w:rFonts w:ascii="Calibri" w:hAnsi="Calibri"/>
          <w:color w:val="323232"/>
          <w:sz w:val="21"/>
        </w:rPr>
        <w:t>“We have our consult with the prof in four days. If we lock this in today, we can walk in with our exact architecture, comparative baselines, and evaluation plan ready to go. The professor will see that we're already weeks ahead.</w:t>
        <w:br/>
        <w:br/>
        <w:t>I’ve compiled the complete technical spec, verified dataset links, and workload breakdown into our v1.1 proposal document in the group folder.</w:t>
        <w:br/>
        <w:br/>
        <w:t>What do you guys think—are we all on board to lock this 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232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