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0000"/>
          <w:sz w:val="36"/>
        </w:rPr>
        <w:t>CS614 Gen AI with LLMs — Project Proposal</w:t>
      </w:r>
    </w:p>
    <w:p>
      <w:pPr>
        <w:spacing w:before="0" w:after="320"/>
        <w:jc w:val="center"/>
      </w:pPr>
      <w:r>
        <w:rPr>
          <w:rFonts w:ascii="Calibri" w:hAnsi="Calibri"/>
          <w:color w:val="323232"/>
          <w:sz w:val="22"/>
        </w:rPr>
        <w:t>Evaluating Adaptive Multi-Hop RAG for Question Answering across SEC 10-K Filings</w:t>
      </w:r>
    </w:p>
    <w:p>
      <w:pPr>
        <w:keepNext/>
        <w:spacing w:before="280" w:after="80"/>
      </w:pPr>
      <w:r>
        <w:rPr>
          <w:rFonts w:ascii="Calibri" w:hAnsi="Calibri"/>
          <w:b/>
          <w:color w:val="000000"/>
          <w:sz w:val="26"/>
        </w:rPr>
        <w:t>1. Overview</w:t>
      </w:r>
    </w:p>
    <w:p>
      <w:pPr>
        <w:pStyle w:val="ListBullet"/>
        <w:spacing w:before="40" w:after="40" w:line="276" w:lineRule="auto"/>
      </w:pPr>
      <w:r>
        <w:rPr>
          <w:rFonts w:ascii="Calibri" w:hAnsi="Calibri"/>
          <w:b/>
          <w:color w:val="000000"/>
          <w:sz w:val="22"/>
        </w:rPr>
        <w:t xml:space="preserve">Project Title: </w:t>
      </w:r>
      <w:r>
        <w:rPr>
          <w:rFonts w:ascii="Calibri" w:hAnsi="Calibri"/>
          <w:color w:val="000000"/>
          <w:sz w:val="22"/>
        </w:rPr>
        <w:t>Evaluating Adaptive Multi-Hop RAG for Question Answering across SEC 10-K Filings</w:t>
      </w:r>
    </w:p>
    <w:p>
      <w:pPr>
        <w:pStyle w:val="ListBullet"/>
        <w:spacing w:before="40" w:after="40" w:line="276" w:lineRule="auto"/>
      </w:pPr>
      <w:r>
        <w:rPr>
          <w:rFonts w:ascii="Calibri" w:hAnsi="Calibri"/>
          <w:b/>
          <w:color w:val="000000"/>
          <w:sz w:val="22"/>
        </w:rPr>
        <w:t xml:space="preserve">Project Type: </w:t>
      </w:r>
      <w:r>
        <w:rPr>
          <w:rFonts w:ascii="Calibri" w:hAnsi="Calibri"/>
          <w:color w:val="000000"/>
          <w:sz w:val="22"/>
        </w:rPr>
        <w:t>Study-Type Project (Comparative Empirical Benchmark with Working Pipeline)</w:t>
      </w:r>
    </w:p>
    <w:p>
      <w:pPr>
        <w:pStyle w:val="ListBullet"/>
        <w:spacing w:before="40" w:after="40" w:line="276" w:lineRule="auto"/>
      </w:pPr>
      <w:r>
        <w:rPr>
          <w:rFonts w:ascii="Calibri" w:hAnsi="Calibri"/>
          <w:b/>
          <w:color w:val="000000"/>
          <w:sz w:val="22"/>
        </w:rPr>
        <w:t xml:space="preserve">Target Domain: </w:t>
      </w:r>
      <w:r>
        <w:rPr>
          <w:rFonts w:ascii="Calibri" w:hAnsi="Calibri"/>
          <w:color w:val="000000"/>
          <w:sz w:val="22"/>
        </w:rPr>
        <w:t>Corporate annual reports (SEC Form 10-K) and complex multi-part financial questions.</w:t>
      </w:r>
    </w:p>
    <w:p>
      <w:pPr>
        <w:keepNext/>
        <w:spacing w:before="280" w:after="80"/>
      </w:pPr>
      <w:r>
        <w:rPr>
          <w:rFonts w:ascii="Calibri" w:hAnsi="Calibri"/>
          <w:b/>
          <w:color w:val="000000"/>
          <w:sz w:val="26"/>
        </w:rPr>
        <w:t>2. Problem Statement &amp; Motivation</w:t>
      </w:r>
    </w:p>
    <w:p>
      <w:pPr>
        <w:spacing w:before="0" w:after="100" w:line="276" w:lineRule="auto"/>
      </w:pPr>
      <w:r>
        <w:rPr>
          <w:rFonts w:ascii="Calibri" w:hAnsi="Calibri"/>
          <w:color w:val="000000"/>
          <w:sz w:val="22"/>
        </w:rPr>
        <w:t>Standard RAG systems operate on a single-pass basis: the user submits a prompt, the system retrieves the top-k chunks based on semantic similarity, and the language model synthesizes an answer. While this works well for straightforward fact retrieval, it breaks down on complex questions where the necessary evidence is distributed across non-adjacent sections of a document.</w:t>
      </w:r>
    </w:p>
    <w:p>
      <w:pPr>
        <w:spacing w:before="0" w:after="100" w:line="276" w:lineRule="auto"/>
      </w:pPr>
      <w:r>
        <w:rPr>
          <w:rFonts w:ascii="Calibri" w:hAnsi="Calibri"/>
          <w:color w:val="000000"/>
          <w:sz w:val="22"/>
        </w:rPr>
        <w:t>In corporate 10-K filings, answering analytical questions often requires synthesizing disparate pieces of information—such as connecting Management's Discussion and Analysis (MD&amp;A, Item 7), Market Risk Disclosures (Item 7A), and specific Financial Statement Footnotes (Item 8). A single-pass retriever either misses secondary premises or retrieves noisy context, leading to incomplete answers or factual hallucinations.</w:t>
      </w:r>
    </w:p>
    <w:p>
      <w:pPr>
        <w:spacing w:before="0" w:after="100" w:line="276" w:lineRule="auto"/>
      </w:pPr>
      <w:r>
        <w:rPr>
          <w:rFonts w:ascii="Calibri" w:hAnsi="Calibri"/>
          <w:color w:val="000000"/>
          <w:sz w:val="22"/>
        </w:rPr>
        <w:t>This project investigates whether an Adaptive Multi-Hop RAG framework—one that decomposes queries, performs progressive retrieval hops, and applies an evidence sufficiency check—meaningfully improves answer completeness and faithfulness compared to single-pass baselines, and what trade-offs it introduces in terms of latency and computational cost.</w:t>
      </w:r>
    </w:p>
    <w:p>
      <w:pPr>
        <w:keepNext/>
        <w:spacing w:before="280" w:after="80"/>
      </w:pPr>
      <w:r>
        <w:rPr>
          <w:rFonts w:ascii="Calibri" w:hAnsi="Calibri"/>
          <w:b/>
          <w:color w:val="000000"/>
          <w:sz w:val="26"/>
        </w:rPr>
        <w:t>3. Proposed System Architecture</w:t>
      </w:r>
    </w:p>
    <w:p>
      <w:pPr>
        <w:spacing w:before="0" w:after="100" w:line="276" w:lineRule="auto"/>
      </w:pPr>
      <w:r>
        <w:rPr>
          <w:rFonts w:ascii="Calibri" w:hAnsi="Calibri"/>
          <w:color w:val="000000"/>
          <w:sz w:val="22"/>
        </w:rPr>
        <w:t>Our pipeline consists of five key steps:</w:t>
      </w:r>
    </w:p>
    <w:p>
      <w:pPr>
        <w:pStyle w:val="ListBullet"/>
        <w:spacing w:before="40" w:after="40" w:line="276" w:lineRule="auto"/>
      </w:pPr>
      <w:r>
        <w:rPr>
          <w:rFonts w:ascii="Calibri" w:hAnsi="Calibri"/>
          <w:b/>
          <w:color w:val="000000"/>
          <w:sz w:val="22"/>
        </w:rPr>
        <w:t xml:space="preserve">1. Document Ingestion: </w:t>
      </w:r>
      <w:r>
        <w:rPr>
          <w:rFonts w:ascii="Calibri" w:hAnsi="Calibri"/>
          <w:color w:val="000000"/>
          <w:sz w:val="22"/>
        </w:rPr>
        <w:t>SEC 10-K filings are parsed with tables preserved in markdown format to maintain row and column relationships, tagged by fiscal year and section.</w:t>
      </w:r>
    </w:p>
    <w:p>
      <w:pPr>
        <w:pStyle w:val="ListBullet"/>
        <w:spacing w:before="40" w:after="40" w:line="276" w:lineRule="auto"/>
      </w:pPr>
      <w:r>
        <w:rPr>
          <w:rFonts w:ascii="Calibri" w:hAnsi="Calibri"/>
          <w:b/>
          <w:color w:val="000000"/>
          <w:sz w:val="22"/>
        </w:rPr>
        <w:t xml:space="preserve">2. Query Decomposition: </w:t>
      </w:r>
      <w:r>
        <w:rPr>
          <w:rFonts w:ascii="Calibri" w:hAnsi="Calibri"/>
          <w:color w:val="000000"/>
          <w:sz w:val="22"/>
        </w:rPr>
        <w:t>A planner model breaks complex multi-part queries into sequential retrieval sub-goals.</w:t>
      </w:r>
    </w:p>
    <w:p>
      <w:pPr>
        <w:pStyle w:val="ListBullet"/>
        <w:spacing w:before="40" w:after="40" w:line="276" w:lineRule="auto"/>
      </w:pPr>
      <w:r>
        <w:rPr>
          <w:rFonts w:ascii="Calibri" w:hAnsi="Calibri"/>
          <w:b/>
          <w:color w:val="000000"/>
          <w:sz w:val="22"/>
        </w:rPr>
        <w:t xml:space="preserve">3. Hybrid Retrieval &amp; Reranking: </w:t>
      </w:r>
      <w:r>
        <w:rPr>
          <w:rFonts w:ascii="Calibri" w:hAnsi="Calibri"/>
          <w:color w:val="000000"/>
          <w:sz w:val="22"/>
        </w:rPr>
        <w:t>Each sub-query is run against both dense vector embeddings (BGE-m3) and sparse lexical search (BM25). The top candidates are rescored using a cross-encoder reranker (bge-reranker-large).</w:t>
      </w:r>
    </w:p>
    <w:p>
      <w:pPr>
        <w:pStyle w:val="ListBullet"/>
        <w:spacing w:before="40" w:after="40" w:line="276" w:lineRule="auto"/>
      </w:pPr>
      <w:r>
        <w:rPr>
          <w:rFonts w:ascii="Calibri" w:hAnsi="Calibri"/>
          <w:b/>
          <w:color w:val="000000"/>
          <w:sz w:val="22"/>
        </w:rPr>
        <w:t xml:space="preserve">4. Evidence Sufficiency Check (Adaptive Loop): </w:t>
      </w:r>
      <w:r>
        <w:rPr>
          <w:rFonts w:ascii="Calibri" w:hAnsi="Calibri"/>
          <w:color w:val="000000"/>
          <w:sz w:val="22"/>
        </w:rPr>
        <w:t>A lightweight critic node evaluates whether the accumulated context contains all facts required to answer the query. If a gap is identified, a targeted follow-up query is issued (bounded by a maximum of 3 hops). If evidence is sufficient, it terminates early.</w:t>
      </w:r>
    </w:p>
    <w:p>
      <w:pPr>
        <w:pStyle w:val="ListBullet"/>
        <w:spacing w:before="40" w:after="40" w:line="276" w:lineRule="auto"/>
      </w:pPr>
      <w:r>
        <w:rPr>
          <w:rFonts w:ascii="Calibri" w:hAnsi="Calibri"/>
          <w:b/>
          <w:color w:val="000000"/>
          <w:sz w:val="22"/>
        </w:rPr>
        <w:t xml:space="preserve">5. Synthesis &amp; Citation: </w:t>
      </w:r>
      <w:r>
        <w:rPr>
          <w:rFonts w:ascii="Calibri" w:hAnsi="Calibri"/>
          <w:color w:val="000000"/>
          <w:sz w:val="22"/>
        </w:rPr>
        <w:t>The generator outputs the final answer with explicit citations back to the source section, page, or table.</w:t>
      </w:r>
    </w:p>
    <w:p>
      <w:pPr>
        <w:keepNext/>
        <w:spacing w:before="280" w:after="80"/>
      </w:pPr>
      <w:r>
        <w:rPr>
          <w:rFonts w:ascii="Calibri" w:hAnsi="Calibri"/>
          <w:b/>
          <w:color w:val="000000"/>
          <w:sz w:val="26"/>
        </w:rPr>
        <w:t>4. Comparative Analysis</w:t>
      </w:r>
    </w:p>
    <w:p>
      <w:pPr>
        <w:spacing w:before="0" w:after="100" w:line="276" w:lineRule="auto"/>
      </w:pPr>
      <w:r>
        <w:rPr>
          <w:rFonts w:ascii="Calibri" w:hAnsi="Calibri"/>
          <w:color w:val="000000"/>
          <w:sz w:val="22"/>
        </w:rPr>
        <w:t>We will benchmark three distinct configurations to directly evaluate the value of each architectural component: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Pr>
          <w:p>
            <w:pPr>
              <w:jc w:val="left"/>
            </w:pPr>
            <w:r>
              <w:rPr>
                <w:rFonts w:ascii="Calibri" w:hAnsi="Calibri"/>
                <w:b/>
                <w:color w:val="000000"/>
                <w:sz w:val="20"/>
              </w:rPr>
              <w:t>System</w:t>
            </w:r>
          </w:p>
        </w:tc>
        <w:tc>
          <w:tcPr>
            <w:tcW w:type="dxa" w:w="2592"/>
          </w:tcPr>
          <w:p>
            <w:pPr>
              <w:jc w:val="left"/>
            </w:pPr>
            <w:r>
              <w:rPr>
                <w:rFonts w:ascii="Calibri" w:hAnsi="Calibri"/>
                <w:b/>
                <w:color w:val="000000"/>
                <w:sz w:val="20"/>
              </w:rPr>
              <w:t>Retrieval Strategy</w:t>
            </w:r>
          </w:p>
        </w:tc>
        <w:tc>
          <w:tcPr>
            <w:tcW w:type="dxa" w:w="2448"/>
          </w:tcPr>
          <w:p>
            <w:pPr>
              <w:jc w:val="left"/>
            </w:pPr>
            <w:r>
              <w:rPr>
                <w:rFonts w:ascii="Calibri" w:hAnsi="Calibri"/>
                <w:b/>
                <w:color w:val="000000"/>
                <w:sz w:val="20"/>
              </w:rPr>
              <w:t>Multi-Hop Handling</w:t>
            </w:r>
          </w:p>
        </w:tc>
        <w:tc>
          <w:tcPr>
            <w:tcW w:type="dxa" w:w="2592"/>
          </w:tcPr>
          <w:p>
            <w:pPr>
              <w:jc w:val="left"/>
            </w:pPr>
            <w:r>
              <w:rPr>
                <w:rFonts w:ascii="Calibri" w:hAnsi="Calibri"/>
                <w:b/>
                <w:color w:val="000000"/>
                <w:sz w:val="20"/>
              </w:rPr>
              <w:t>Expected Trade-off</w:t>
            </w:r>
          </w:p>
        </w:tc>
      </w:tr>
      <w:tr>
        <w:tc>
          <w:tcPr>
            <w:tcW w:type="dxa" w:w="2160"/>
          </w:tcPr>
          <w:p>
            <w:pPr>
              <w:spacing w:line="276" w:lineRule="auto"/>
            </w:pPr>
            <w:r>
              <w:rPr>
                <w:rFonts w:ascii="Calibri" w:hAnsi="Calibri"/>
                <w:color w:val="000000"/>
                <w:sz w:val="19"/>
              </w:rPr>
              <w:t>System A</w:t>
              <w:br/>
              <w:t>(Naive Baseline)</w:t>
            </w:r>
          </w:p>
        </w:tc>
        <w:tc>
          <w:tcPr>
            <w:tcW w:type="dxa" w:w="2592"/>
          </w:tcPr>
          <w:p>
            <w:pPr>
              <w:spacing w:line="276" w:lineRule="auto"/>
            </w:pPr>
            <w:r>
              <w:rPr>
                <w:rFonts w:ascii="Calibri" w:hAnsi="Calibri"/>
                <w:color w:val="000000"/>
                <w:sz w:val="19"/>
              </w:rPr>
              <w:t>Single-pass dense embedding search (top-k=5)</w:t>
            </w:r>
          </w:p>
        </w:tc>
        <w:tc>
          <w:tcPr>
            <w:tcW w:type="dxa" w:w="2448"/>
          </w:tcPr>
          <w:p>
            <w:pPr>
              <w:spacing w:line="276" w:lineRule="auto"/>
            </w:pPr>
            <w:r>
              <w:rPr>
                <w:rFonts w:ascii="Calibri" w:hAnsi="Calibri"/>
                <w:color w:val="000000"/>
                <w:sz w:val="19"/>
              </w:rPr>
              <w:t>None (single retrieval against original query)</w:t>
            </w:r>
          </w:p>
        </w:tc>
        <w:tc>
          <w:tcPr>
            <w:tcW w:type="dxa" w:w="2592"/>
          </w:tcPr>
          <w:p>
            <w:pPr>
              <w:spacing w:line="276" w:lineRule="auto"/>
            </w:pPr>
            <w:r>
              <w:rPr>
                <w:rFonts w:ascii="Calibri" w:hAnsi="Calibri"/>
                <w:color w:val="000000"/>
                <w:sz w:val="19"/>
              </w:rPr>
              <w:t>Lowest latency and cost, but low evidence recall on multi-step queries.</w:t>
            </w:r>
          </w:p>
        </w:tc>
      </w:tr>
      <w:tr>
        <w:tc>
          <w:tcPr>
            <w:tcW w:type="dxa" w:w="2160"/>
          </w:tcPr>
          <w:p>
            <w:pPr>
              <w:spacing w:line="276" w:lineRule="auto"/>
            </w:pPr>
            <w:r>
              <w:rPr>
                <w:rFonts w:ascii="Calibri" w:hAnsi="Calibri"/>
                <w:color w:val="000000"/>
                <w:sz w:val="19"/>
              </w:rPr>
              <w:t>System B</w:t>
              <w:br/>
              <w:t>(Advanced Single-Pass)</w:t>
            </w:r>
          </w:p>
        </w:tc>
        <w:tc>
          <w:tcPr>
            <w:tcW w:type="dxa" w:w="2592"/>
          </w:tcPr>
          <w:p>
            <w:pPr>
              <w:spacing w:line="276" w:lineRule="auto"/>
            </w:pPr>
            <w:r>
              <w:rPr>
                <w:rFonts w:ascii="Calibri" w:hAnsi="Calibri"/>
                <w:color w:val="000000"/>
                <w:sz w:val="19"/>
              </w:rPr>
              <w:t>Hybrid retrieval (Dense + BM25) with cross-encoder reranking (top-k=5)</w:t>
            </w:r>
          </w:p>
        </w:tc>
        <w:tc>
          <w:tcPr>
            <w:tcW w:type="dxa" w:w="2448"/>
          </w:tcPr>
          <w:p>
            <w:pPr>
              <w:spacing w:line="276" w:lineRule="auto"/>
            </w:pPr>
            <w:r>
              <w:rPr>
                <w:rFonts w:ascii="Calibri" w:hAnsi="Calibri"/>
                <w:color w:val="000000"/>
                <w:sz w:val="19"/>
              </w:rPr>
              <w:t>None (expanded single-pass context)</w:t>
            </w:r>
          </w:p>
        </w:tc>
        <w:tc>
          <w:tcPr>
            <w:tcW w:type="dxa" w:w="2592"/>
          </w:tcPr>
          <w:p>
            <w:pPr>
              <w:spacing w:line="276" w:lineRule="auto"/>
            </w:pPr>
            <w:r>
              <w:rPr>
                <w:rFonts w:ascii="Calibri" w:hAnsi="Calibri"/>
                <w:color w:val="000000"/>
                <w:sz w:val="19"/>
              </w:rPr>
              <w:t>Improved precision for single-hop queries, but still misses dependent evidence across distant sections.</w:t>
            </w:r>
          </w:p>
        </w:tc>
      </w:tr>
      <w:tr>
        <w:tc>
          <w:tcPr>
            <w:tcW w:type="dxa" w:w="2160"/>
          </w:tcPr>
          <w:p>
            <w:pPr>
              <w:spacing w:line="276" w:lineRule="auto"/>
            </w:pPr>
            <w:r>
              <w:rPr>
                <w:rFonts w:ascii="Calibri" w:hAnsi="Calibri"/>
                <w:color w:val="000000"/>
                <w:sz w:val="19"/>
              </w:rPr>
              <w:t>System C</w:t>
              <w:br/>
              <w:t>(Adaptive Multi-Hop)</w:t>
            </w:r>
          </w:p>
        </w:tc>
        <w:tc>
          <w:tcPr>
            <w:tcW w:type="dxa" w:w="2592"/>
          </w:tcPr>
          <w:p>
            <w:pPr>
              <w:spacing w:line="276" w:lineRule="auto"/>
            </w:pPr>
            <w:r>
              <w:rPr>
                <w:rFonts w:ascii="Calibri" w:hAnsi="Calibri"/>
                <w:color w:val="000000"/>
                <w:sz w:val="19"/>
              </w:rPr>
              <w:t>Hybrid retrieval + cross-encoder reranker with iterative feedback loop</w:t>
            </w:r>
          </w:p>
        </w:tc>
        <w:tc>
          <w:tcPr>
            <w:tcW w:type="dxa" w:w="2448"/>
          </w:tcPr>
          <w:p>
            <w:pPr>
              <w:spacing w:line="276" w:lineRule="auto"/>
            </w:pPr>
            <w:r>
              <w:rPr>
                <w:rFonts w:ascii="Calibri" w:hAnsi="Calibri"/>
                <w:color w:val="000000"/>
                <w:sz w:val="19"/>
              </w:rPr>
              <w:t>Adaptive loop with query decomposition and sufficiency critic (max 3 hops)</w:t>
            </w:r>
          </w:p>
        </w:tc>
        <w:tc>
          <w:tcPr>
            <w:tcW w:type="dxa" w:w="2592"/>
          </w:tcPr>
          <w:p>
            <w:pPr>
              <w:spacing w:line="276" w:lineRule="auto"/>
            </w:pPr>
            <w:r>
              <w:rPr>
                <w:rFonts w:ascii="Calibri" w:hAnsi="Calibri"/>
                <w:color w:val="000000"/>
                <w:sz w:val="19"/>
              </w:rPr>
              <w:t>Significantly higher multi-hop recall and factual faithfulness, traded off against higher latency and token usage.</w:t>
            </w:r>
          </w:p>
        </w:tc>
      </w:tr>
    </w:tbl>
    <w:p>
      <w:pPr>
        <w:spacing w:after="80"/>
      </w:pPr>
    </w:p>
    <w:p>
      <w:pPr>
        <w:keepNext/>
        <w:spacing w:before="280" w:after="80"/>
      </w:pPr>
      <w:r>
        <w:rPr>
          <w:rFonts w:ascii="Calibri" w:hAnsi="Calibri"/>
          <w:b/>
          <w:color w:val="000000"/>
          <w:sz w:val="26"/>
        </w:rPr>
        <w:t>5. Datasets &amp; Evaluation Methodology</w:t>
      </w:r>
    </w:p>
    <w:p>
      <w:pPr>
        <w:keepNext/>
        <w:spacing w:before="200" w:after="60"/>
      </w:pPr>
      <w:r>
        <w:rPr>
          <w:rFonts w:ascii="Calibri" w:hAnsi="Calibri"/>
          <w:b/>
          <w:color w:val="000000"/>
          <w:sz w:val="23"/>
        </w:rPr>
        <w:t>Datasets</w:t>
      </w:r>
    </w:p>
    <w:p>
      <w:pPr>
        <w:pStyle w:val="ListBullet"/>
        <w:spacing w:before="40" w:after="40" w:line="276" w:lineRule="auto"/>
      </w:pPr>
      <w:r>
        <w:rPr>
          <w:rFonts w:ascii="Calibri" w:hAnsi="Calibri"/>
          <w:b/>
          <w:color w:val="000000"/>
          <w:sz w:val="22"/>
        </w:rPr>
        <w:t xml:space="preserve">Benchmark Dataset: </w:t>
      </w:r>
      <w:r>
        <w:rPr>
          <w:rFonts w:ascii="Calibri" w:hAnsi="Calibri"/>
          <w:color w:val="000000"/>
          <w:sz w:val="22"/>
        </w:rPr>
        <w:t>We will use the publicly available FinQA and TAT-QA benchmarks (available on Hugging Face / GitHub), which provide pre-annotated multi-hop questions, ground-truth numerical/textual answers, and corresponding source contexts over financial reports.</w:t>
      </w:r>
    </w:p>
    <w:p>
      <w:pPr>
        <w:pStyle w:val="ListBullet"/>
        <w:spacing w:before="40" w:after="40" w:line="276" w:lineRule="auto"/>
      </w:pPr>
      <w:r>
        <w:rPr>
          <w:rFonts w:ascii="Calibri" w:hAnsi="Calibri"/>
          <w:b/>
          <w:color w:val="000000"/>
          <w:sz w:val="22"/>
        </w:rPr>
        <w:t xml:space="preserve">Real-World Evaluation Set: </w:t>
      </w:r>
      <w:r>
        <w:rPr>
          <w:rFonts w:ascii="Calibri" w:hAnsi="Calibri"/>
          <w:color w:val="000000"/>
          <w:sz w:val="22"/>
        </w:rPr>
        <w:t>We will supplement this with a set of 30–50 real-world multi-hop questions across 2023–2024 10-K filings from selected companies (e.g., Apple, Microsoft, NVIDIA) to validate real-world generalizability.</w:t>
      </w:r>
    </w:p>
    <w:p>
      <w:pPr>
        <w:keepNext/>
        <w:spacing w:before="200" w:after="60"/>
      </w:pPr>
      <w:r>
        <w:rPr>
          <w:rFonts w:ascii="Calibri" w:hAnsi="Calibri"/>
          <w:b/>
          <w:color w:val="000000"/>
          <w:sz w:val="23"/>
        </w:rPr>
        <w:t>Evaluation Metrics</w:t>
      </w:r>
    </w:p>
    <w:p>
      <w:pPr>
        <w:pStyle w:val="ListBullet"/>
        <w:spacing w:before="40" w:after="40" w:line="276" w:lineRule="auto"/>
      </w:pPr>
      <w:r>
        <w:rPr>
          <w:rFonts w:ascii="Calibri" w:hAnsi="Calibri"/>
          <w:b/>
          <w:color w:val="000000"/>
          <w:sz w:val="22"/>
        </w:rPr>
        <w:t xml:space="preserve">Retrieval Metrics: </w:t>
      </w:r>
      <w:r>
        <w:rPr>
          <w:rFonts w:ascii="Calibri" w:hAnsi="Calibri"/>
          <w:color w:val="000000"/>
          <w:sz w:val="22"/>
        </w:rPr>
        <w:t>Evidence Recall@k and Context Precision to measure how effectively the system captures all necessary source passages.</w:t>
      </w:r>
    </w:p>
    <w:p>
      <w:pPr>
        <w:pStyle w:val="ListBullet"/>
        <w:spacing w:before="40" w:after="40" w:line="276" w:lineRule="auto"/>
      </w:pPr>
      <w:r>
        <w:rPr>
          <w:rFonts w:ascii="Calibri" w:hAnsi="Calibri"/>
          <w:b/>
          <w:color w:val="000000"/>
          <w:sz w:val="22"/>
        </w:rPr>
        <w:t xml:space="preserve">Generation Metrics: </w:t>
      </w:r>
      <w:r>
        <w:rPr>
          <w:rFonts w:ascii="Calibri" w:hAnsi="Calibri"/>
          <w:color w:val="000000"/>
          <w:sz w:val="22"/>
        </w:rPr>
        <w:t>Faithfulness and Answer Relevance measured using the RAGAS evaluation framework, as well as Citation Precision to verify that factual claims are accurately grounded.</w:t>
      </w:r>
    </w:p>
    <w:p>
      <w:pPr>
        <w:pStyle w:val="ListBullet"/>
        <w:spacing w:before="40" w:after="40" w:line="276" w:lineRule="auto"/>
      </w:pPr>
      <w:r>
        <w:rPr>
          <w:rFonts w:ascii="Calibri" w:hAnsi="Calibri"/>
          <w:b/>
          <w:color w:val="000000"/>
          <w:sz w:val="22"/>
        </w:rPr>
        <w:t xml:space="preserve">System Trade-offs: </w:t>
      </w:r>
      <w:r>
        <w:rPr>
          <w:rFonts w:ascii="Calibri" w:hAnsi="Calibri"/>
          <w:color w:val="000000"/>
          <w:sz w:val="22"/>
        </w:rPr>
        <w:t>End-to-end latency (seconds), total token consumption, and average hop count to assess computational feasibility.</w:t>
      </w:r>
    </w:p>
    <w:p>
      <w:pPr>
        <w:pStyle w:val="ListBullet"/>
        <w:spacing w:before="40" w:after="40" w:line="276" w:lineRule="auto"/>
      </w:pPr>
      <w:r>
        <w:rPr>
          <w:rFonts w:ascii="Calibri" w:hAnsi="Calibri"/>
          <w:b/>
          <w:color w:val="000000"/>
          <w:sz w:val="22"/>
        </w:rPr>
        <w:t xml:space="preserve">Qualitative Analysis: </w:t>
      </w:r>
      <w:r>
        <w:rPr>
          <w:rFonts w:ascii="Calibri" w:hAnsi="Calibri"/>
          <w:color w:val="000000"/>
          <w:sz w:val="22"/>
        </w:rPr>
        <w:t>A manual inspection of failure cases to categorize where each architecture fails (e.g., early retrieval misses vs. reasoning errors).</w:t>
      </w:r>
    </w:p>
    <w:p>
      <w:pPr>
        <w:keepNext/>
        <w:spacing w:before="280" w:after="80"/>
      </w:pPr>
      <w:r>
        <w:rPr>
          <w:rFonts w:ascii="Calibri" w:hAnsi="Calibri"/>
          <w:b/>
          <w:color w:val="000000"/>
          <w:sz w:val="26"/>
        </w:rPr>
        <w:t>6. Team Workload &amp; Research Sub-Studies</w:t>
      </w:r>
    </w:p>
    <w:p>
      <w:pPr>
        <w:spacing w:before="0" w:after="100" w:line="276" w:lineRule="auto"/>
      </w:pPr>
      <w:r>
        <w:rPr>
          <w:rFonts w:ascii="Calibri" w:hAnsi="Calibri"/>
          <w:color w:val="000000"/>
          <w:sz w:val="22"/>
        </w:rPr>
        <w:t>To ensure rigorous academic depth appropriate for a graduate-level AI project, each team member owns a substantial technical module alongside a dedicated empirical ablation study:</w:t>
      </w:r>
    </w:p>
    <w:tbl>
      <w:tblPr>
        <w:tblW w:type="auto" w:w="0"/>
        <w:jc w:val="center"/>
        <w:tblLayout w:type="fixed"/>
        <w:tblLook w:firstColumn="1" w:firstRow="1" w:lastColumn="0" w:lastRow="0" w:noHBand="0" w:noVBand="1" w:val="04A0"/>
      </w:tblPr>
      <w:tblGrid>
        <w:gridCol w:w="3120"/>
        <w:gridCol w:w="3120"/>
        <w:gridCol w:w="3120"/>
      </w:tblGrid>
      <w:tr>
        <w:tc>
          <w:tcPr>
            <w:tcW w:type="dxa" w:w="2016"/>
          </w:tcPr>
          <w:p>
            <w:pPr>
              <w:jc w:val="left"/>
            </w:pPr>
            <w:r>
              <w:rPr>
                <w:rFonts w:ascii="Calibri" w:hAnsi="Calibri"/>
                <w:b/>
                <w:color w:val="000000"/>
                <w:sz w:val="20"/>
              </w:rPr>
              <w:t>Team Member</w:t>
            </w:r>
          </w:p>
        </w:tc>
        <w:tc>
          <w:tcPr>
            <w:tcW w:type="dxa" w:w="2592"/>
          </w:tcPr>
          <w:p>
            <w:pPr>
              <w:jc w:val="left"/>
            </w:pPr>
            <w:r>
              <w:rPr>
                <w:rFonts w:ascii="Calibri" w:hAnsi="Calibri"/>
                <w:b/>
                <w:color w:val="000000"/>
                <w:sz w:val="20"/>
              </w:rPr>
              <w:t>Technical Module</w:t>
            </w:r>
          </w:p>
        </w:tc>
        <w:tc>
          <w:tcPr>
            <w:tcW w:type="dxa" w:w="5184"/>
          </w:tcPr>
          <w:p>
            <w:pPr>
              <w:jc w:val="left"/>
            </w:pPr>
            <w:r>
              <w:rPr>
                <w:rFonts w:ascii="Calibri" w:hAnsi="Calibri"/>
                <w:b/>
                <w:color w:val="000000"/>
                <w:sz w:val="20"/>
              </w:rPr>
              <w:t>Empirical Ablation Study (Master's-Level Research Scope)</w:t>
            </w:r>
          </w:p>
        </w:tc>
      </w:tr>
      <w:tr>
        <w:tc>
          <w:tcPr>
            <w:tcW w:type="dxa" w:w="2016"/>
          </w:tcPr>
          <w:p>
            <w:pPr>
              <w:spacing w:line="276" w:lineRule="auto"/>
            </w:pPr>
            <w:r>
              <w:rPr>
                <w:rFonts w:ascii="Calibri" w:hAnsi="Calibri"/>
                <w:color w:val="000000"/>
                <w:sz w:val="19"/>
              </w:rPr>
              <w:t>Member 1 (Anish)</w:t>
            </w:r>
          </w:p>
        </w:tc>
        <w:tc>
          <w:tcPr>
            <w:tcW w:type="dxa" w:w="2592"/>
          </w:tcPr>
          <w:p>
            <w:pPr>
              <w:spacing w:line="276" w:lineRule="auto"/>
            </w:pPr>
            <w:r>
              <w:rPr>
                <w:rFonts w:ascii="Calibri" w:hAnsi="Calibri"/>
                <w:color w:val="000000"/>
                <w:sz w:val="19"/>
              </w:rPr>
              <w:t>Adaptive Graph Orchestration &amp; State Machine</w:t>
            </w:r>
          </w:p>
        </w:tc>
        <w:tc>
          <w:tcPr>
            <w:tcW w:type="dxa" w:w="5184"/>
          </w:tcPr>
          <w:p>
            <w:pPr>
              <w:spacing w:line="276" w:lineRule="auto"/>
            </w:pPr>
            <w:r>
              <w:rPr>
                <w:rFonts w:ascii="Calibri" w:hAnsi="Calibri"/>
                <w:color w:val="000000"/>
                <w:sz w:val="19"/>
              </w:rPr>
              <w:t>Adaptive vs. Fixed-Hop Dynamics: Studies how dynamic early-stopping critics compare against fixed-hop baselines, analyzing retrieval noise degradation and loop termination stability under ambiguous queries.</w:t>
            </w:r>
          </w:p>
        </w:tc>
      </w:tr>
      <w:tr>
        <w:tc>
          <w:tcPr>
            <w:tcW w:type="dxa" w:w="2016"/>
          </w:tcPr>
          <w:p>
            <w:pPr>
              <w:spacing w:line="276" w:lineRule="auto"/>
            </w:pPr>
            <w:r>
              <w:rPr>
                <w:rFonts w:ascii="Calibri" w:hAnsi="Calibri"/>
                <w:color w:val="000000"/>
                <w:sz w:val="19"/>
              </w:rPr>
              <w:t>Member 2</w:t>
            </w:r>
          </w:p>
        </w:tc>
        <w:tc>
          <w:tcPr>
            <w:tcW w:type="dxa" w:w="2592"/>
          </w:tcPr>
          <w:p>
            <w:pPr>
              <w:spacing w:line="276" w:lineRule="auto"/>
            </w:pPr>
            <w:r>
              <w:rPr>
                <w:rFonts w:ascii="Calibri" w:hAnsi="Calibri"/>
                <w:color w:val="000000"/>
                <w:sz w:val="19"/>
              </w:rPr>
              <w:t>Structural Document Representation &amp; Ingestion</w:t>
            </w:r>
          </w:p>
        </w:tc>
        <w:tc>
          <w:tcPr>
            <w:tcW w:type="dxa" w:w="5184"/>
          </w:tcPr>
          <w:p>
            <w:pPr>
              <w:spacing w:line="276" w:lineRule="auto"/>
            </w:pPr>
            <w:r>
              <w:rPr>
                <w:rFonts w:ascii="Calibri" w:hAnsi="Calibri"/>
                <w:color w:val="000000"/>
                <w:sz w:val="19"/>
              </w:rPr>
              <w:t>Tabular Representation Ablation: Formulates and benchmarks structural representations (Semantic Chunking vs. Markdown Grids vs. Propositional Serialization) on preserving row-column numerical dependencies in multi-hop chains.</w:t>
            </w:r>
          </w:p>
        </w:tc>
      </w:tr>
      <w:tr>
        <w:tc>
          <w:tcPr>
            <w:tcW w:type="dxa" w:w="2016"/>
          </w:tcPr>
          <w:p>
            <w:pPr>
              <w:spacing w:line="276" w:lineRule="auto"/>
            </w:pPr>
            <w:r>
              <w:rPr>
                <w:rFonts w:ascii="Calibri" w:hAnsi="Calibri"/>
                <w:color w:val="000000"/>
                <w:sz w:val="19"/>
              </w:rPr>
              <w:t>Member 3</w:t>
            </w:r>
          </w:p>
        </w:tc>
        <w:tc>
          <w:tcPr>
            <w:tcW w:type="dxa" w:w="2592"/>
          </w:tcPr>
          <w:p>
            <w:pPr>
              <w:spacing w:line="276" w:lineRule="auto"/>
            </w:pPr>
            <w:r>
              <w:rPr>
                <w:rFonts w:ascii="Calibri" w:hAnsi="Calibri"/>
                <w:color w:val="000000"/>
                <w:sz w:val="19"/>
              </w:rPr>
              <w:t>Hybrid Retrieval &amp; Cross-Encoder Calibration</w:t>
            </w:r>
          </w:p>
        </w:tc>
        <w:tc>
          <w:tcPr>
            <w:tcW w:type="dxa" w:w="5184"/>
          </w:tcPr>
          <w:p>
            <w:pPr>
              <w:spacing w:line="276" w:lineRule="auto"/>
            </w:pPr>
            <w:r>
              <w:rPr>
                <w:rFonts w:ascii="Calibri" w:hAnsi="Calibri"/>
                <w:color w:val="000000"/>
                <w:sz w:val="19"/>
              </w:rPr>
              <w:t>Dense-Sparse Calibration &amp; Context Truncation: Analyzes the sensitivity of alpha-weighted hybrid search (Dense vs. BM25) on financial tokens and quantifies the exact context-cliff boundary during cross-encoder reranking.</w:t>
            </w:r>
          </w:p>
        </w:tc>
      </w:tr>
      <w:tr>
        <w:tc>
          <w:tcPr>
            <w:tcW w:type="dxa" w:w="2016"/>
          </w:tcPr>
          <w:p>
            <w:pPr>
              <w:spacing w:line="276" w:lineRule="auto"/>
            </w:pPr>
            <w:r>
              <w:rPr>
                <w:rFonts w:ascii="Calibri" w:hAnsi="Calibri"/>
                <w:color w:val="000000"/>
                <w:sz w:val="19"/>
              </w:rPr>
              <w:t>Member 4</w:t>
            </w:r>
          </w:p>
        </w:tc>
        <w:tc>
          <w:tcPr>
            <w:tcW w:type="dxa" w:w="2592"/>
          </w:tcPr>
          <w:p>
            <w:pPr>
              <w:spacing w:line="276" w:lineRule="auto"/>
            </w:pPr>
            <w:r>
              <w:rPr>
                <w:rFonts w:ascii="Calibri" w:hAnsi="Calibri"/>
                <w:color w:val="000000"/>
                <w:sz w:val="19"/>
              </w:rPr>
              <w:t>Factual Grounding &amp; Hallucination Guardrails</w:t>
            </w:r>
          </w:p>
        </w:tc>
        <w:tc>
          <w:tcPr>
            <w:tcW w:type="dxa" w:w="5184"/>
          </w:tcPr>
          <w:p>
            <w:pPr>
              <w:spacing w:line="276" w:lineRule="auto"/>
            </w:pPr>
            <w:r>
              <w:rPr>
                <w:rFonts w:ascii="Calibri" w:hAnsi="Calibri"/>
                <w:color w:val="000000"/>
                <w:sz w:val="19"/>
              </w:rPr>
              <w:t>Active Numerical Verification &amp; Adversarial Stress Testing: Develops and benchmarks an automated self-consistency verification layer that enforces claim-to-context grounding and tests failure resilience against conflicting disclosures.</w:t>
            </w:r>
          </w:p>
        </w:tc>
      </w:tr>
      <w:tr>
        <w:tc>
          <w:tcPr>
            <w:tcW w:type="dxa" w:w="2016"/>
          </w:tcPr>
          <w:p>
            <w:pPr>
              <w:spacing w:line="276" w:lineRule="auto"/>
            </w:pPr>
            <w:r>
              <w:rPr>
                <w:rFonts w:ascii="Calibri" w:hAnsi="Calibri"/>
                <w:color w:val="000000"/>
                <w:sz w:val="19"/>
              </w:rPr>
              <w:t>Member 5</w:t>
            </w:r>
          </w:p>
        </w:tc>
        <w:tc>
          <w:tcPr>
            <w:tcW w:type="dxa" w:w="2592"/>
          </w:tcPr>
          <w:p>
            <w:pPr>
              <w:spacing w:line="276" w:lineRule="auto"/>
            </w:pPr>
            <w:r>
              <w:rPr>
                <w:rFonts w:ascii="Calibri" w:hAnsi="Calibri"/>
                <w:color w:val="000000"/>
                <w:sz w:val="19"/>
              </w:rPr>
              <w:t>Inference Economics &amp; Architectural Profiling</w:t>
            </w:r>
          </w:p>
        </w:tc>
        <w:tc>
          <w:tcPr>
            <w:tcW w:type="dxa" w:w="5184"/>
          </w:tcPr>
          <w:p>
            <w:pPr>
              <w:spacing w:line="276" w:lineRule="auto"/>
            </w:pPr>
            <w:r>
              <w:rPr>
                <w:rFonts w:ascii="Calibri" w:hAnsi="Calibri"/>
                <w:color w:val="000000"/>
                <w:sz w:val="19"/>
              </w:rPr>
              <w:t>Model Tiering &amp; Pareto Trade-Off Optimization: Profiles end-to-end latency and token economics, comparing open-weight models (Llama-3.1-8B) against frontier LLMs across pipeline stages, constructing empirical Pareto frontier curves.</w:t>
            </w:r>
          </w:p>
        </w:tc>
      </w:tr>
    </w:tbl>
    <w:p>
      <w:pPr>
        <w:spacing w:after="80"/>
      </w:pPr>
    </w:p>
    <w:p>
      <w:pPr>
        <w:keepNext/>
        <w:spacing w:before="280" w:after="80"/>
      </w:pPr>
      <w:r>
        <w:rPr>
          <w:rFonts w:ascii="Calibri" w:hAnsi="Calibri"/>
          <w:b/>
          <w:color w:val="000000"/>
          <w:sz w:val="26"/>
        </w:rPr>
        <w:t>7. Questions</w:t>
      </w:r>
    </w:p>
    <w:p>
      <w:pPr>
        <w:spacing w:before="0" w:after="100" w:line="276" w:lineRule="auto"/>
      </w:pPr>
      <w:r>
        <w:rPr>
          <w:rFonts w:ascii="Calibri" w:hAnsi="Calibri"/>
          <w:color w:val="000000"/>
          <w:sz w:val="22"/>
        </w:rPr>
        <w:t>We would appreciate your feedback on the following questions during our consultation:</w:t>
      </w:r>
    </w:p>
    <w:p>
      <w:pPr>
        <w:pStyle w:val="ListBullet"/>
        <w:spacing w:before="40" w:after="40" w:line="276" w:lineRule="auto"/>
      </w:pPr>
      <w:r>
        <w:rPr>
          <w:rFonts w:ascii="Calibri" w:hAnsi="Calibri"/>
          <w:b/>
          <w:color w:val="000000"/>
          <w:sz w:val="22"/>
        </w:rPr>
        <w:t xml:space="preserve">1. Project Framing: </w:t>
      </w:r>
      <w:r>
        <w:rPr>
          <w:rFonts w:ascii="Calibri" w:hAnsi="Calibri"/>
          <w:color w:val="000000"/>
          <w:sz w:val="22"/>
        </w:rPr>
        <w:t>We have structured this as an empirical study comparing three RAG retrieval strategies with a working pipeline. Does this align well with the expectations for a Study-Type project, or would you recommend placing more emphasis on an interactive end-user interface?</w:t>
      </w:r>
    </w:p>
    <w:p>
      <w:pPr>
        <w:pStyle w:val="ListBullet"/>
        <w:spacing w:before="40" w:after="40" w:line="276" w:lineRule="auto"/>
      </w:pPr>
      <w:r>
        <w:rPr>
          <w:rFonts w:ascii="Calibri" w:hAnsi="Calibri"/>
          <w:b/>
          <w:color w:val="000000"/>
          <w:sz w:val="22"/>
        </w:rPr>
        <w:t xml:space="preserve">2. Multi-Hop Scope: </w:t>
      </w:r>
      <w:r>
        <w:rPr>
          <w:rFonts w:ascii="Calibri" w:hAnsi="Calibri"/>
          <w:color w:val="000000"/>
          <w:sz w:val="22"/>
        </w:rPr>
        <w:t>Our adaptive loop uses query decomposition and an evidence sufficiency check bounded by 3 hops in LangGraph. Is this mechanism sufficient to demonstrate advanced agentic and RAG concepts for the course, or would you recommend incorporating graph-based structures (such as GraphRAG)?</w:t>
      </w:r>
    </w:p>
    <w:p>
      <w:pPr>
        <w:pStyle w:val="ListBullet"/>
        <w:spacing w:before="40" w:after="40" w:line="276" w:lineRule="auto"/>
      </w:pPr>
      <w:r>
        <w:rPr>
          <w:rFonts w:ascii="Calibri" w:hAnsi="Calibri"/>
          <w:b/>
          <w:color w:val="000000"/>
          <w:sz w:val="22"/>
        </w:rPr>
        <w:t xml:space="preserve">3. Evaluation Dataset: </w:t>
      </w:r>
      <w:r>
        <w:rPr>
          <w:rFonts w:ascii="Calibri" w:hAnsi="Calibri"/>
          <w:color w:val="000000"/>
          <w:sz w:val="22"/>
        </w:rPr>
        <w:t>We plan to evaluate primarily on the established FinQA/TAT-QA benchmarks, supplemented by 30–50 verified questions on recent SEC 10-K filings. Does this combination provide sufficient evaluation rigor for the project?</w:t>
      </w:r>
    </w:p>
    <w:p>
      <w:pPr>
        <w:pStyle w:val="ListBullet"/>
        <w:spacing w:before="40" w:after="40" w:line="276" w:lineRule="auto"/>
      </w:pPr>
      <w:r>
        <w:rPr>
          <w:rFonts w:ascii="Calibri" w:hAnsi="Calibri"/>
          <w:b/>
          <w:color w:val="000000"/>
          <w:sz w:val="22"/>
        </w:rPr>
        <w:t xml:space="preserve">4. Analysis Weighting: </w:t>
      </w:r>
      <w:r>
        <w:rPr>
          <w:rFonts w:ascii="Calibri" w:hAnsi="Calibri"/>
          <w:color w:val="000000"/>
          <w:sz w:val="22"/>
        </w:rPr>
        <w:t>Given that multi-hop retrieval trades off latency and cost for higher evidence recall, how much weight would you like to see placed on operational efficiency analysis (e.g., latency and token cost trade-off curves) in the final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