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BEA" w:rsidRDefault="000C0BEA">
      <w:pPr>
        <w:pStyle w:val="TableStyle"/>
        <w:rPr>
          <w:lang w:val="en-US"/>
        </w:rPr>
      </w:pPr>
      <w:bookmarkStart w:id="0" w:name="_GoBack"/>
      <w:bookmarkEnd w:id="0"/>
    </w:p>
    <w:p w:rsidR="000C0BEA" w:rsidRDefault="000C0BEA">
      <w:pPr>
        <w:pStyle w:val="BodyText"/>
        <w:rPr>
          <w:lang w:val="en-US"/>
        </w:rPr>
      </w:pPr>
    </w:p>
    <w:p w:rsidR="000C0BEA" w:rsidRDefault="000C0BEA">
      <w:pPr>
        <w:pStyle w:val="BodyText"/>
        <w:rPr>
          <w:lang w:val="en-US"/>
        </w:rPr>
      </w:pPr>
    </w:p>
    <w:p w:rsidR="000C0BEA" w:rsidRDefault="000C0BEA">
      <w:pPr>
        <w:pStyle w:val="BodyText"/>
        <w:rPr>
          <w:lang w:val="en-US"/>
        </w:rPr>
      </w:pPr>
    </w:p>
    <w:bookmarkStart w:id="1" w:name="Title"/>
    <w:p w:rsidR="000C0BEA" w:rsidRDefault="000C0BEA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D87FA9">
        <w:rPr>
          <w:lang w:val="en-US"/>
        </w:rPr>
        <w:t>ICMPv6 Protocol Modules for TTCN-3 Toolset with TITAN, User Guide</w:t>
      </w:r>
      <w:r>
        <w:rPr>
          <w:lang w:val="en-US"/>
        </w:rPr>
        <w:fldChar w:fldCharType="end"/>
      </w:r>
      <w:bookmarkEnd w:id="1"/>
    </w:p>
    <w:p w:rsidR="000C0BEA" w:rsidRDefault="000C0BEA">
      <w:pPr>
        <w:pStyle w:val="Contents"/>
        <w:spacing w:after="240"/>
        <w:rPr>
          <w:lang w:val="en-US"/>
        </w:rPr>
      </w:pPr>
    </w:p>
    <w:p w:rsidR="000C0BEA" w:rsidRDefault="000C0BEA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D87FA9" w:rsidRPr="002E4AF9" w:rsidRDefault="000C0BEA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366232928" w:history="1">
        <w:r w:rsidR="00D87FA9" w:rsidRPr="00CF3AA0">
          <w:rPr>
            <w:rStyle w:val="Hyperlink"/>
            <w:lang w:val="en-US"/>
          </w:rPr>
          <w:t>1</w:t>
        </w:r>
        <w:r w:rsidR="00D87FA9" w:rsidRPr="002E4AF9">
          <w:rPr>
            <w:rFonts w:ascii="Calibri" w:hAnsi="Calibri"/>
            <w:szCs w:val="22"/>
            <w:lang w:val="en-US"/>
          </w:rPr>
          <w:tab/>
        </w:r>
        <w:r w:rsidR="00D87FA9" w:rsidRPr="00CF3AA0">
          <w:rPr>
            <w:rStyle w:val="Hyperlink"/>
            <w:lang w:val="en-US"/>
          </w:rPr>
          <w:t>Introduction</w:t>
        </w:r>
        <w:r w:rsidR="00D87FA9">
          <w:rPr>
            <w:webHidden/>
          </w:rPr>
          <w:tab/>
        </w:r>
        <w:r w:rsidR="00D87FA9">
          <w:rPr>
            <w:webHidden/>
          </w:rPr>
          <w:fldChar w:fldCharType="begin"/>
        </w:r>
        <w:r w:rsidR="00D87FA9">
          <w:rPr>
            <w:webHidden/>
          </w:rPr>
          <w:instrText xml:space="preserve"> PAGEREF _Toc366232928 \h </w:instrText>
        </w:r>
        <w:r w:rsidR="00D87FA9">
          <w:rPr>
            <w:webHidden/>
          </w:rPr>
        </w:r>
        <w:r w:rsidR="00D87FA9">
          <w:rPr>
            <w:webHidden/>
          </w:rPr>
          <w:fldChar w:fldCharType="separate"/>
        </w:r>
        <w:r w:rsidR="00D87FA9">
          <w:rPr>
            <w:webHidden/>
          </w:rPr>
          <w:t>2</w:t>
        </w:r>
        <w:r w:rsidR="00D87FA9"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29" w:history="1">
        <w:r w:rsidRPr="00CF3AA0">
          <w:rPr>
            <w:rStyle w:val="Hyperlink"/>
            <w:lang w:val="en-US"/>
          </w:rPr>
          <w:t>1.1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0" w:history="1">
        <w:r w:rsidRPr="00CF3AA0">
          <w:rPr>
            <w:rStyle w:val="Hyperlink"/>
            <w:snapToGrid w:val="0"/>
            <w:lang w:val="en-US"/>
          </w:rPr>
          <w:t>1.2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1" w:history="1">
        <w:r w:rsidRPr="00CF3AA0">
          <w:rPr>
            <w:rStyle w:val="Hyperlink"/>
            <w:lang w:val="en-US"/>
          </w:rPr>
          <w:t>1.2.1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2" w:history="1">
        <w:r w:rsidRPr="00CF3AA0">
          <w:rPr>
            <w:rStyle w:val="Hyperlink"/>
            <w:lang w:val="en-US"/>
          </w:rPr>
          <w:t>1.2.2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3" w:history="1">
        <w:r w:rsidRPr="00CF3AA0">
          <w:rPr>
            <w:rStyle w:val="Hyperlink"/>
            <w:lang w:val="en-US"/>
          </w:rPr>
          <w:t>1.2.3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4" w:history="1">
        <w:r w:rsidRPr="00CF3AA0">
          <w:rPr>
            <w:rStyle w:val="Hyperlink"/>
            <w:lang w:val="en-US"/>
          </w:rPr>
          <w:t>1.2.4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5" w:history="1">
        <w:r w:rsidRPr="00CF3AA0">
          <w:rPr>
            <w:rStyle w:val="Hyperlink"/>
            <w:lang w:val="en-US"/>
          </w:rPr>
          <w:t>1.2.5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6" w:history="1">
        <w:r w:rsidRPr="00CF3AA0">
          <w:rPr>
            <w:rStyle w:val="Hyperlink"/>
            <w:lang w:val="en-US"/>
          </w:rPr>
          <w:t>1.3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7" w:history="1">
        <w:r w:rsidRPr="00CF3AA0">
          <w:rPr>
            <w:rStyle w:val="Hyperlink"/>
            <w:lang w:val="en-US"/>
          </w:rPr>
          <w:t>2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8" w:history="1">
        <w:r w:rsidRPr="00CF3AA0">
          <w:rPr>
            <w:rStyle w:val="Hyperlink"/>
            <w:lang w:val="en-US"/>
          </w:rPr>
          <w:t>2.1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39" w:history="1">
        <w:r w:rsidRPr="00CF3AA0">
          <w:rPr>
            <w:rStyle w:val="Hyperlink"/>
            <w:lang w:val="en-US"/>
          </w:rPr>
          <w:t>2.2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40" w:history="1">
        <w:r w:rsidRPr="00CF3AA0">
          <w:rPr>
            <w:rStyle w:val="Hyperlink"/>
            <w:lang w:val="en-US"/>
          </w:rPr>
          <w:t>2.3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87FA9" w:rsidRPr="002E4AF9" w:rsidRDefault="00D87FA9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232941" w:history="1">
        <w:r w:rsidRPr="00CF3AA0">
          <w:rPr>
            <w:rStyle w:val="Hyperlink"/>
            <w:lang w:val="en-US"/>
          </w:rPr>
          <w:t>2.4</w:t>
        </w:r>
        <w:r w:rsidRPr="002E4AF9">
          <w:rPr>
            <w:rFonts w:ascii="Calibri" w:hAnsi="Calibri"/>
            <w:szCs w:val="22"/>
            <w:lang w:val="en-US"/>
          </w:rPr>
          <w:tab/>
        </w:r>
        <w:r w:rsidRPr="00CF3AA0">
          <w:rPr>
            <w:rStyle w:val="Hyperlink"/>
            <w:lang w:val="en-US"/>
          </w:rPr>
          <w:t>Encoding, Decoding, Checksum Calculation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_Toc366232941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0C0BEA" w:rsidRDefault="000C0BEA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366232928"/>
      <w:r>
        <w:rPr>
          <w:lang w:val="en-US"/>
        </w:rPr>
        <w:lastRenderedPageBreak/>
        <w:t>Introduction</w:t>
      </w:r>
      <w:bookmarkEnd w:id="2"/>
    </w:p>
    <w:p w:rsidR="000C0BEA" w:rsidRDefault="000C0BEA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6232929"/>
      <w:r>
        <w:rPr>
          <w:lang w:val="en-US"/>
        </w:rPr>
        <w:t>Revision history</w:t>
      </w:r>
      <w:bookmarkEnd w:id="10"/>
      <w:bookmarkEnd w:id="11"/>
    </w:p>
    <w:p w:rsidR="000C0BEA" w:rsidRDefault="000C0BEA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0C0BEA" w:rsidRDefault="000C0BEA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A4070B">
            <w:pPr>
              <w:rPr>
                <w:snapToGrid w:val="0"/>
              </w:rPr>
            </w:pPr>
            <w:r>
              <w:rPr>
                <w:snapToGrid w:val="0"/>
              </w:rPr>
              <w:t>2009-02-24</w:t>
            </w: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0C0BEA" w:rsidRDefault="00A4070B">
            <w:pPr>
              <w:rPr>
                <w:snapToGrid w:val="0"/>
              </w:rPr>
            </w:pPr>
            <w:r>
              <w:rPr>
                <w:snapToGrid w:val="0"/>
              </w:rPr>
              <w:t>ETHEKR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D7D07">
            <w:pPr>
              <w:rPr>
                <w:snapToGrid w:val="0"/>
              </w:rPr>
            </w:pPr>
            <w:r>
              <w:rPr>
                <w:snapToGrid w:val="0"/>
              </w:rPr>
              <w:t>2013-09-06</w:t>
            </w:r>
          </w:p>
        </w:tc>
        <w:tc>
          <w:tcPr>
            <w:tcW w:w="993" w:type="dxa"/>
          </w:tcPr>
          <w:p w:rsidR="000C0BEA" w:rsidRDefault="000D7D07">
            <w:pPr>
              <w:rPr>
                <w:snapToGrid w:val="0"/>
              </w:rPr>
            </w:pPr>
            <w:r>
              <w:rPr>
                <w:snapToGrid w:val="0"/>
              </w:rPr>
              <w:t>A</w:t>
            </w:r>
          </w:p>
        </w:tc>
        <w:tc>
          <w:tcPr>
            <w:tcW w:w="3827" w:type="dxa"/>
          </w:tcPr>
          <w:p w:rsidR="000C0BEA" w:rsidRDefault="000D7D07">
            <w:pPr>
              <w:rPr>
                <w:snapToGrid w:val="0"/>
              </w:rPr>
            </w:pPr>
            <w:r>
              <w:rPr>
                <w:snapToGrid w:val="0"/>
              </w:rPr>
              <w:t>References updated</w:t>
            </w:r>
          </w:p>
        </w:tc>
        <w:tc>
          <w:tcPr>
            <w:tcW w:w="1417" w:type="dxa"/>
          </w:tcPr>
          <w:p w:rsidR="000C0BEA" w:rsidRDefault="000D7D07">
            <w:pPr>
              <w:rPr>
                <w:snapToGrid w:val="0"/>
              </w:rPr>
            </w:pPr>
            <w:r>
              <w:rPr>
                <w:snapToGrid w:val="0"/>
              </w:rPr>
              <w:t>ESCHZOL</w:t>
            </w: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  <w:tr w:rsidR="000C0BEA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0C0BEA" w:rsidRDefault="000C0BEA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</w:p>
        </w:tc>
        <w:tc>
          <w:tcPr>
            <w:tcW w:w="993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0C0BEA" w:rsidRDefault="000C0BEA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0C0BEA" w:rsidRDefault="000C0BEA">
            <w:pPr>
              <w:rPr>
                <w:snapToGrid w:val="0"/>
              </w:rPr>
            </w:pPr>
          </w:p>
        </w:tc>
      </w:tr>
    </w:tbl>
    <w:p w:rsidR="000C0BEA" w:rsidRDefault="000C0BEA">
      <w:pPr>
        <w:pStyle w:val="Heading2"/>
        <w:rPr>
          <w:snapToGrid w:val="0"/>
          <w:lang w:val="en-US"/>
        </w:rPr>
      </w:pPr>
      <w:bookmarkStart w:id="12" w:name="_Toc366232930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0C0BEA" w:rsidRDefault="000C0BEA">
      <w:pPr>
        <w:pStyle w:val="Heading3"/>
        <w:rPr>
          <w:lang w:val="en-US"/>
        </w:rPr>
      </w:pPr>
      <w:bookmarkStart w:id="13" w:name="_Toc366232931"/>
      <w:r>
        <w:rPr>
          <w:lang w:val="en-US"/>
        </w:rPr>
        <w:t>How to Read this Document</w:t>
      </w:r>
      <w:bookmarkEnd w:id="13"/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This is the User Guide for the ICMP</w:t>
      </w:r>
      <w:r w:rsidR="00A4070B">
        <w:rPr>
          <w:lang w:val="en-US"/>
        </w:rPr>
        <w:t>v6</w:t>
      </w:r>
      <w:r>
        <w:rPr>
          <w:lang w:val="en-US"/>
        </w:rPr>
        <w:t xml:space="preserve"> protocol module. The ICMP</w:t>
      </w:r>
      <w:r w:rsidR="00A4070B">
        <w:rPr>
          <w:lang w:val="en-US"/>
        </w:rPr>
        <w:t>v6</w:t>
      </w:r>
      <w:r>
        <w:rPr>
          <w:lang w:val="en-US"/>
        </w:rPr>
        <w:t xml:space="preserve">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_Ref55708574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B5CB3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_Ref55708590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B5CB3">
        <w:rPr>
          <w:lang w:val="en-US"/>
        </w:rPr>
        <w:t>[5]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0C0BEA" w:rsidRDefault="000C0BEA">
      <w:pPr>
        <w:pStyle w:val="Heading3"/>
        <w:rPr>
          <w:lang w:val="en-US"/>
        </w:rPr>
      </w:pPr>
      <w:bookmarkStart w:id="14" w:name="_Toc366232932"/>
      <w:r>
        <w:rPr>
          <w:lang w:val="en-US"/>
        </w:rPr>
        <w:t>Presumed Knowledge</w:t>
      </w:r>
      <w:bookmarkEnd w:id="14"/>
    </w:p>
    <w:p w:rsidR="000C0BEA" w:rsidRDefault="000C0BEA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_Ref45513518 \r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BB5CB3">
        <w:rPr>
          <w:rFonts w:cs="Arial"/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0C0BEA" w:rsidRDefault="000C0BEA">
      <w:pPr>
        <w:pStyle w:val="Heading3"/>
        <w:rPr>
          <w:lang w:val="en-US"/>
        </w:rPr>
      </w:pPr>
      <w:bookmarkStart w:id="15" w:name="_Toc366232933"/>
      <w:r>
        <w:rPr>
          <w:lang w:val="en-US"/>
        </w:rPr>
        <w:t>References</w:t>
      </w:r>
      <w:bookmarkEnd w:id="15"/>
    </w:p>
    <w:p w:rsidR="000C0BEA" w:rsidRDefault="000C0BEA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ETSI ES 201 873–1 v.3.1.1 (06/2005)</w:t>
      </w:r>
      <w:r>
        <w:rPr>
          <w:lang w:val="en-US"/>
        </w:rPr>
        <w:br/>
        <w:t>The Testing and Test Control Notation version 3. Part 1: Core Language</w:t>
      </w:r>
      <w:bookmarkEnd w:id="16"/>
    </w:p>
    <w:p w:rsidR="000C0BEA" w:rsidRDefault="000C0BEA">
      <w:pPr>
        <w:pStyle w:val="List"/>
      </w:pPr>
      <w:bookmarkStart w:id="17" w:name="_Ref50279452"/>
      <w:bookmarkStart w:id="18" w:name="_Ref157325156"/>
      <w:r>
        <w:rPr>
          <w:noProof/>
        </w:rPr>
        <w:t>2/198 17-CRL 113</w:t>
      </w:r>
      <w:r w:rsidR="000D7D07">
        <w:rPr>
          <w:noProof/>
        </w:rPr>
        <w:t> </w:t>
      </w:r>
      <w:r>
        <w:rPr>
          <w:noProof/>
        </w:rPr>
        <w:t>200</w:t>
      </w:r>
      <w:r w:rsidR="000D7D07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18"/>
    </w:p>
    <w:p w:rsidR="000C0BEA" w:rsidRDefault="000C0BEA">
      <w:pPr>
        <w:pStyle w:val="List"/>
      </w:pPr>
      <w:bookmarkStart w:id="19" w:name="_Ref157325135"/>
      <w:r>
        <w:rPr>
          <w:noProof/>
        </w:rPr>
        <w:t>1/1531-CRL 113</w:t>
      </w:r>
      <w:r w:rsidR="000D7D07">
        <w:rPr>
          <w:noProof/>
        </w:rPr>
        <w:t> </w:t>
      </w:r>
      <w:r>
        <w:rPr>
          <w:noProof/>
        </w:rPr>
        <w:t>200</w:t>
      </w:r>
      <w:r w:rsidR="000D7D07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0C0BEA" w:rsidRDefault="00BB5CB3">
      <w:pPr>
        <w:pStyle w:val="List"/>
        <w:rPr>
          <w:lang w:val="en-US"/>
        </w:rPr>
      </w:pPr>
      <w:bookmarkStart w:id="20" w:name="_Ref55708574"/>
      <w:r>
        <w:rPr>
          <w:lang w:val="en-US"/>
        </w:rPr>
        <w:t>109 21-CNL 113 631</w:t>
      </w:r>
      <w:r w:rsidR="000C0BEA">
        <w:rPr>
          <w:lang w:val="en-US"/>
        </w:rPr>
        <w:t>–1 Uen</w:t>
      </w:r>
      <w:r w:rsidR="000C0BEA">
        <w:rPr>
          <w:lang w:val="en-US"/>
        </w:rPr>
        <w:br/>
        <w:t>ICMP</w:t>
      </w:r>
      <w:r w:rsidR="00A4070B">
        <w:rPr>
          <w:lang w:val="en-US"/>
        </w:rPr>
        <w:t>v6</w:t>
      </w:r>
      <w:r w:rsidR="000C0BEA">
        <w:rPr>
          <w:lang w:val="en-US"/>
        </w:rPr>
        <w:t xml:space="preserve"> Protocol Modules for TTCN-3 Toolset with TITAN, Product Revision Information</w:t>
      </w:r>
      <w:bookmarkEnd w:id="20"/>
    </w:p>
    <w:p w:rsidR="000C0BEA" w:rsidRDefault="00BB5CB3">
      <w:pPr>
        <w:pStyle w:val="List"/>
        <w:rPr>
          <w:lang w:val="en-US"/>
        </w:rPr>
      </w:pPr>
      <w:bookmarkStart w:id="21" w:name="_Ref55708590"/>
      <w:bookmarkEnd w:id="17"/>
      <w:r>
        <w:rPr>
          <w:lang w:val="en-US"/>
        </w:rPr>
        <w:t>155 17-CNL 113 631</w:t>
      </w:r>
      <w:r w:rsidR="000C0BEA">
        <w:rPr>
          <w:lang w:val="en-US"/>
        </w:rPr>
        <w:br/>
        <w:t>ICMP</w:t>
      </w:r>
      <w:r w:rsidR="00A4070B">
        <w:rPr>
          <w:lang w:val="en-US"/>
        </w:rPr>
        <w:t>v6</w:t>
      </w:r>
      <w:r w:rsidR="000C0BEA">
        <w:rPr>
          <w:lang w:val="en-US"/>
        </w:rPr>
        <w:t xml:space="preserve"> Protocol Modules for TTCN-3 Toolset with TITAN, Function Specification</w:t>
      </w:r>
      <w:bookmarkEnd w:id="21"/>
    </w:p>
    <w:p w:rsidR="000C0BEA" w:rsidRDefault="00A4070B">
      <w:pPr>
        <w:pStyle w:val="List"/>
        <w:rPr>
          <w:noProof/>
        </w:rPr>
      </w:pPr>
      <w:bookmarkStart w:id="22" w:name="_Ref157416361"/>
      <w:bookmarkStart w:id="23" w:name="_Ref157326159"/>
      <w:bookmarkStart w:id="24" w:name="_Ref157416285"/>
      <w:bookmarkStart w:id="25" w:name="_Ref157479608"/>
      <w:r>
        <w:rPr>
          <w:noProof/>
        </w:rPr>
        <w:t>IETF RFC 4443</w:t>
      </w:r>
      <w:r w:rsidR="000C0BEA">
        <w:rPr>
          <w:noProof/>
        </w:rPr>
        <w:br/>
      </w:r>
      <w:bookmarkEnd w:id="24"/>
      <w:bookmarkEnd w:id="25"/>
      <w:r>
        <w:t>Internet Control Message Protocol (ICMPv6) for the Internet Protocol Version 6 (IPv6) Specification</w:t>
      </w:r>
    </w:p>
    <w:p w:rsidR="000C0BEA" w:rsidRDefault="000C0BEA">
      <w:pPr>
        <w:pStyle w:val="Heading3"/>
        <w:rPr>
          <w:lang w:val="en-US"/>
        </w:rPr>
      </w:pPr>
      <w:bookmarkStart w:id="26" w:name="_Toc366232934"/>
      <w:bookmarkEnd w:id="22"/>
      <w:bookmarkEnd w:id="23"/>
      <w:r>
        <w:rPr>
          <w:lang w:val="en-US"/>
        </w:rPr>
        <w:lastRenderedPageBreak/>
        <w:t>Abbreviations</w:t>
      </w:r>
      <w:bookmarkEnd w:id="26"/>
    </w:p>
    <w:p w:rsidR="000C0BEA" w:rsidRDefault="000C0BEA">
      <w:pPr>
        <w:pStyle w:val="BodyText"/>
        <w:spacing w:before="0"/>
        <w:ind w:left="2549"/>
      </w:pPr>
      <w:r>
        <w:t>IETF</w:t>
      </w:r>
      <w:r>
        <w:tab/>
        <w:t>Internet Engineering Task Force</w:t>
      </w:r>
    </w:p>
    <w:p w:rsidR="000C0BEA" w:rsidRDefault="000C0BEA">
      <w:pPr>
        <w:pStyle w:val="BodyText"/>
        <w:spacing w:before="0"/>
        <w:ind w:left="2549"/>
      </w:pPr>
      <w:r>
        <w:t>IP</w:t>
      </w:r>
      <w:r>
        <w:tab/>
        <w:t>Internet Protocol</w:t>
      </w:r>
    </w:p>
    <w:p w:rsidR="000C0BEA" w:rsidRDefault="000C0BEA">
      <w:pPr>
        <w:pStyle w:val="BodyText"/>
        <w:spacing w:before="0"/>
        <w:ind w:left="2549"/>
      </w:pPr>
      <w:r>
        <w:t>ICMP</w:t>
      </w:r>
      <w:r w:rsidR="00A4070B">
        <w:t>v6</w:t>
      </w:r>
      <w:r>
        <w:tab/>
        <w:t>Internet Control Message Protocol</w:t>
      </w:r>
      <w:r w:rsidR="00A4070B">
        <w:t xml:space="preserve"> for IPv6</w:t>
      </w:r>
    </w:p>
    <w:p w:rsidR="00A4070B" w:rsidRDefault="00A4070B" w:rsidP="00A4070B">
      <w:pPr>
        <w:pStyle w:val="BodyText"/>
        <w:spacing w:before="0"/>
        <w:ind w:left="2549"/>
      </w:pPr>
      <w:r>
        <w:t>IPv6</w:t>
      </w:r>
      <w:r>
        <w:tab/>
        <w:t>Internet Protocol Version 6</w:t>
      </w:r>
    </w:p>
    <w:p w:rsidR="000C0BEA" w:rsidRDefault="000C0BEA">
      <w:pPr>
        <w:pStyle w:val="BodyText"/>
        <w:spacing w:before="0"/>
        <w:ind w:left="2549"/>
      </w:pPr>
      <w:r>
        <w:t>RFC</w:t>
      </w:r>
      <w:r>
        <w:tab/>
        <w:t>Request for Comments</w:t>
      </w:r>
    </w:p>
    <w:p w:rsidR="000C0BEA" w:rsidRDefault="000C0BEA">
      <w:pPr>
        <w:pStyle w:val="Text"/>
      </w:pPr>
      <w:r>
        <w:t xml:space="preserve">TTCN-3 </w:t>
      </w:r>
      <w:r>
        <w:tab/>
        <w:t>Testing and Test Control Notation version 3</w:t>
      </w:r>
    </w:p>
    <w:p w:rsidR="000C0BEA" w:rsidRDefault="000C0BEA">
      <w:pPr>
        <w:pStyle w:val="Heading3"/>
        <w:rPr>
          <w:lang w:val="en-US"/>
        </w:rPr>
      </w:pPr>
      <w:bookmarkStart w:id="27" w:name="_Toc366232935"/>
      <w:r>
        <w:rPr>
          <w:lang w:val="en-US"/>
        </w:rPr>
        <w:t>Terminology</w:t>
      </w:r>
      <w:bookmarkEnd w:id="27"/>
    </w:p>
    <w:p w:rsidR="000C0BEA" w:rsidRDefault="000C0BEA">
      <w:pPr>
        <w:pStyle w:val="BodyText"/>
      </w:pPr>
      <w:bookmarkStart w:id="28" w:name="_Toc46547758"/>
      <w:r>
        <w:t>TITAN</w:t>
      </w:r>
      <w:r>
        <w:tab/>
        <w:t>TTCN-3 Test Executor</w:t>
      </w:r>
    </w:p>
    <w:p w:rsidR="000C0BEA" w:rsidRDefault="000C0BEA">
      <w:pPr>
        <w:pStyle w:val="Heading2"/>
        <w:rPr>
          <w:lang w:val="en-US"/>
        </w:rPr>
      </w:pPr>
      <w:bookmarkStart w:id="29" w:name="_Toc366232936"/>
      <w:r>
        <w:rPr>
          <w:lang w:val="en-US"/>
        </w:rPr>
        <w:t>System Requirements</w:t>
      </w:r>
      <w:bookmarkEnd w:id="28"/>
      <w:bookmarkEnd w:id="29"/>
    </w:p>
    <w:p w:rsidR="000C0BEA" w:rsidRDefault="000C0BEA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05BA0" w:rsidRDefault="000C0BEA" w:rsidP="00305BA0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 w:rsidRPr="00305BA0">
        <w:rPr>
          <w:rFonts w:cs="Arial"/>
          <w:szCs w:val="22"/>
          <w:lang w:val="en-US"/>
        </w:rPr>
        <w:t xml:space="preserve">TITAN TTCN-3 Test </w:t>
      </w:r>
      <w:r w:rsidR="00305BA0" w:rsidRPr="00305BA0">
        <w:rPr>
          <w:rFonts w:cs="Arial"/>
          <w:szCs w:val="22"/>
          <w:lang w:val="en-US"/>
        </w:rPr>
        <w:t>Executor 1.8.pl0.pre2 or higher installed. For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color w:val="000000"/>
          <w:szCs w:val="22"/>
          <w:lang w:val="en-US"/>
        </w:rPr>
        <w:t xml:space="preserve">installation guide see </w:t>
      </w:r>
      <w:r w:rsidR="00CE4526">
        <w:rPr>
          <w:rFonts w:cs="Arial"/>
          <w:color w:val="0000FF"/>
          <w:szCs w:val="22"/>
          <w:lang w:val="en-US"/>
        </w:rPr>
        <w:fldChar w:fldCharType="begin"/>
      </w:r>
      <w:r w:rsidR="00CE4526">
        <w:rPr>
          <w:rFonts w:cs="Arial"/>
          <w:color w:val="000000"/>
          <w:szCs w:val="22"/>
          <w:lang w:val="en-US"/>
        </w:rPr>
        <w:instrText xml:space="preserve"> REF _Ref157325135 \r \h </w:instrText>
      </w:r>
      <w:r w:rsidR="00E705F0" w:rsidRPr="00CE4526">
        <w:rPr>
          <w:rFonts w:cs="Arial"/>
          <w:color w:val="0000FF"/>
          <w:szCs w:val="22"/>
          <w:lang w:val="en-US"/>
        </w:rPr>
      </w:r>
      <w:r w:rsidR="00CE4526">
        <w:rPr>
          <w:rFonts w:cs="Arial"/>
          <w:color w:val="0000FF"/>
          <w:szCs w:val="22"/>
          <w:lang w:val="en-US"/>
        </w:rPr>
        <w:fldChar w:fldCharType="separate"/>
      </w:r>
      <w:r w:rsidR="00CE4526">
        <w:rPr>
          <w:rFonts w:cs="Arial"/>
          <w:color w:val="000000"/>
          <w:szCs w:val="22"/>
          <w:lang w:val="en-US"/>
        </w:rPr>
        <w:t>[3]</w:t>
      </w:r>
      <w:r w:rsidR="00CE4526">
        <w:rPr>
          <w:rFonts w:cs="Arial"/>
          <w:color w:val="0000FF"/>
          <w:szCs w:val="22"/>
          <w:lang w:val="en-US"/>
        </w:rPr>
        <w:fldChar w:fldCharType="end"/>
      </w:r>
      <w:r w:rsidR="00305BA0" w:rsidRPr="00305BA0">
        <w:rPr>
          <w:rFonts w:cs="Arial"/>
          <w:color w:val="000000"/>
          <w:szCs w:val="22"/>
          <w:lang w:val="en-US"/>
        </w:rPr>
        <w:t>. Please note:</w:t>
      </w:r>
      <w:r w:rsidR="00305BA0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305BA0"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1. This version of the protocol module can not be used for defining 32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bit unsigned or larger integers with TITAN versions earlier than</w:t>
      </w:r>
      <w:r w:rsidR="00305BA0">
        <w:rPr>
          <w:rFonts w:ascii="Helvetica" w:hAnsi="Helvetica" w:cs="Helvetica"/>
          <w:sz w:val="21"/>
          <w:szCs w:val="21"/>
          <w:lang w:val="en-US"/>
        </w:rPr>
        <w:t xml:space="preserve"> </w:t>
      </w:r>
      <w:r w:rsidR="00305BA0" w:rsidRPr="00305BA0">
        <w:rPr>
          <w:rFonts w:cs="Arial"/>
          <w:szCs w:val="22"/>
          <w:lang w:val="en-US"/>
        </w:rPr>
        <w:t>1.8.pl0.pre2.</w:t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>
        <w:rPr>
          <w:rFonts w:ascii="Helvetica" w:hAnsi="Helvetica" w:cs="Helvetica"/>
          <w:sz w:val="21"/>
          <w:szCs w:val="21"/>
          <w:lang w:val="en-US"/>
        </w:rPr>
        <w:br/>
      </w:r>
      <w:r w:rsidR="00305BA0" w:rsidRPr="00305BA0">
        <w:rPr>
          <w:rFonts w:cs="Arial"/>
          <w:szCs w:val="22"/>
          <w:lang w:val="en-US"/>
        </w:rPr>
        <w:t>2. This version of the protocol module is not compatible with TITAN</w:t>
      </w:r>
      <w:r w:rsidR="00305BA0" w:rsidRPr="00305BA0">
        <w:rPr>
          <w:rFonts w:cs="Arial"/>
          <w:szCs w:val="22"/>
          <w:lang w:val="en-US"/>
        </w:rPr>
        <w:br/>
        <w:t>releases earlier than R7A.</w:t>
      </w:r>
    </w:p>
    <w:p w:rsidR="000C0BEA" w:rsidRDefault="000C0BEA">
      <w:pPr>
        <w:pStyle w:val="Heading1"/>
        <w:rPr>
          <w:lang w:val="en-US"/>
        </w:rPr>
      </w:pPr>
      <w:bookmarkStart w:id="30" w:name="_Toc366232937"/>
      <w:r>
        <w:rPr>
          <w:lang w:val="en-US"/>
        </w:rPr>
        <w:t>Protocol Modules</w:t>
      </w:r>
      <w:bookmarkEnd w:id="30"/>
    </w:p>
    <w:p w:rsidR="000C0BEA" w:rsidRDefault="000C0BEA">
      <w:pPr>
        <w:pStyle w:val="Heading2"/>
        <w:rPr>
          <w:lang w:val="en-US"/>
        </w:rPr>
      </w:pPr>
      <w:bookmarkStart w:id="31" w:name="_Toc366232938"/>
      <w:r>
        <w:rPr>
          <w:lang w:val="en-US"/>
        </w:rPr>
        <w:t>Overview</w:t>
      </w:r>
      <w:bookmarkEnd w:id="31"/>
    </w:p>
    <w:p w:rsidR="000C0BEA" w:rsidRDefault="000C0BEA">
      <w:pPr>
        <w:pStyle w:val="BodyText"/>
        <w:rPr>
          <w:lang w:val="en-US"/>
        </w:rPr>
      </w:pPr>
      <w:bookmarkStart w:id="32" w:name="_Toc46547765"/>
      <w:r>
        <w:rPr>
          <w:lang w:val="en-US"/>
        </w:rPr>
        <w:t xml:space="preserve">Protocol modules implement the message structures of the corresponding protocol in a formalized way, using the standard specification language TTCN-3. This allows defining of test data (templates) in the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_Ref45513518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B5CB3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B5CB3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The table below contains the implemented ICMP</w:t>
      </w:r>
      <w:r w:rsidR="00860408">
        <w:rPr>
          <w:lang w:val="en-US"/>
        </w:rPr>
        <w:t>v6</w:t>
      </w:r>
      <w:r>
        <w:rPr>
          <w:lang w:val="en-US"/>
        </w:rPr>
        <w:t xml:space="preserve"> messages and the corresponding TTCN-3 type records. Using those type records, templates can be defined to send and receive a given message.</w:t>
      </w:r>
    </w:p>
    <w:p w:rsidR="00305BA0" w:rsidRDefault="00305BA0">
      <w:pPr>
        <w:pStyle w:val="BodyText"/>
        <w:rPr>
          <w:lang w:val="en-US"/>
        </w:rPr>
      </w:pPr>
    </w:p>
    <w:p w:rsidR="00305BA0" w:rsidRDefault="00305BA0">
      <w:pPr>
        <w:pStyle w:val="BodyText"/>
        <w:rPr>
          <w:lang w:val="en-US"/>
        </w:rPr>
      </w:pPr>
    </w:p>
    <w:p w:rsidR="000C0BEA" w:rsidRDefault="000C0BEA">
      <w:pPr>
        <w:pStyle w:val="Text"/>
        <w:rPr>
          <w:lang w:val="en-US"/>
        </w:rPr>
      </w:pPr>
    </w:p>
    <w:tbl>
      <w:tblPr>
        <w:tblW w:w="7686" w:type="dxa"/>
        <w:tblInd w:w="25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785"/>
        <w:gridCol w:w="1170"/>
        <w:gridCol w:w="3731"/>
      </w:tblGrid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00"/>
        </w:trPr>
        <w:tc>
          <w:tcPr>
            <w:tcW w:w="2785" w:type="dxa"/>
          </w:tcPr>
          <w:p w:rsidR="000C0BEA" w:rsidRDefault="000C0BEA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170" w:type="dxa"/>
          </w:tcPr>
          <w:p w:rsidR="000C0BEA" w:rsidRDefault="000C0BEA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3731" w:type="dxa"/>
          </w:tcPr>
          <w:p w:rsidR="000C0BEA" w:rsidRDefault="000C0BEA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ICMP</w:t>
            </w:r>
            <w:r w:rsidR="00860408"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v6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_Types.ttcn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0771A4" w:rsidRPr="000771A4" w:rsidRDefault="000771A4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 xml:space="preserve">Destination </w:t>
            </w:r>
            <w:r w:rsidRPr="000771A4">
              <w:rPr>
                <w:rFonts w:ascii="Courier New" w:hAnsi="Courier New" w:cs="Courier New"/>
                <w:sz w:val="20"/>
                <w:lang w:val="en-US"/>
              </w:rPr>
              <w:t>Unreachable</w:t>
            </w:r>
          </w:p>
          <w:p w:rsidR="000C0BEA" w:rsidRDefault="000C0BE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BB5CB3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3.1</w:t>
            </w:r>
          </w:p>
        </w:tc>
        <w:tc>
          <w:tcPr>
            <w:tcW w:w="3731" w:type="dxa"/>
            <w:vAlign w:val="center"/>
          </w:tcPr>
          <w:p w:rsidR="000C0BEA" w:rsidRPr="00860408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="00860408" w:rsidRPr="00860408">
              <w:rPr>
                <w:noProof/>
                <w:sz w:val="20"/>
              </w:rPr>
              <w:t>ICMPv6_DestinationUnreachable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0771A4" w:rsidRPr="000771A4" w:rsidRDefault="000771A4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0771A4">
              <w:rPr>
                <w:rFonts w:ascii="Courier New" w:hAnsi="Courier New" w:cs="Courier New"/>
                <w:sz w:val="20"/>
                <w:lang w:val="en-US"/>
              </w:rPr>
              <w:t>Packet Too Big</w:t>
            </w:r>
          </w:p>
          <w:p w:rsidR="000C0BEA" w:rsidRDefault="000C0BE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BB5CB3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3.2</w:t>
            </w:r>
          </w:p>
        </w:tc>
        <w:tc>
          <w:tcPr>
            <w:tcW w:w="3731" w:type="dxa"/>
            <w:vAlign w:val="center"/>
          </w:tcPr>
          <w:p w:rsidR="000C0BEA" w:rsidRPr="000771A4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771A4">
              <w:rPr>
                <w:noProof/>
                <w:sz w:val="20"/>
              </w:rPr>
              <w:t>ICMPv6_PacketTooBig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0771A4" w:rsidRPr="000771A4" w:rsidRDefault="000771A4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0771A4">
              <w:rPr>
                <w:rFonts w:ascii="Courier New" w:hAnsi="Courier New" w:cs="Courier New"/>
                <w:sz w:val="20"/>
                <w:lang w:val="en-US"/>
              </w:rPr>
              <w:t>Time Exceeded Message</w:t>
            </w:r>
          </w:p>
          <w:p w:rsidR="000C0BEA" w:rsidRDefault="000C0BE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BB5CB3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3.3</w:t>
            </w:r>
          </w:p>
        </w:tc>
        <w:tc>
          <w:tcPr>
            <w:tcW w:w="3731" w:type="dxa"/>
            <w:vAlign w:val="center"/>
          </w:tcPr>
          <w:p w:rsidR="000C0BEA" w:rsidRPr="000771A4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771A4">
              <w:rPr>
                <w:noProof/>
                <w:sz w:val="20"/>
              </w:rPr>
              <w:t>ICMPv6_TimeExceeded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0C0BEA" w:rsidRPr="000771A4" w:rsidRDefault="000771A4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0771A4">
              <w:rPr>
                <w:rFonts w:ascii="Courier New" w:hAnsi="Courier New" w:cs="Courier New"/>
                <w:sz w:val="20"/>
                <w:lang w:val="en-US"/>
              </w:rPr>
              <w:t>Parameter Problem</w:t>
            </w: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BB5CB3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3.4</w:t>
            </w:r>
          </w:p>
        </w:tc>
        <w:tc>
          <w:tcPr>
            <w:tcW w:w="3731" w:type="dxa"/>
            <w:vAlign w:val="center"/>
          </w:tcPr>
          <w:p w:rsidR="000C0BEA" w:rsidRPr="000771A4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771A4">
              <w:rPr>
                <w:noProof/>
                <w:sz w:val="20"/>
              </w:rPr>
              <w:t>ICMPv6_ParameterProblem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0771A4" w:rsidRPr="000771A4" w:rsidRDefault="000771A4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 w:rsidRPr="000771A4">
              <w:rPr>
                <w:rFonts w:ascii="Courier New" w:hAnsi="Courier New" w:cs="Courier New"/>
                <w:sz w:val="20"/>
                <w:lang w:val="en-US"/>
              </w:rPr>
              <w:t>Echo Request</w:t>
            </w:r>
          </w:p>
          <w:p w:rsidR="000C0BEA" w:rsidRDefault="000C0BE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BB5CB3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4.1</w:t>
            </w:r>
          </w:p>
        </w:tc>
        <w:tc>
          <w:tcPr>
            <w:tcW w:w="3731" w:type="dxa"/>
            <w:vAlign w:val="center"/>
          </w:tcPr>
          <w:p w:rsidR="000C0BEA" w:rsidRPr="000771A4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771A4">
              <w:rPr>
                <w:noProof/>
                <w:sz w:val="20"/>
              </w:rPr>
              <w:t>ICMPv6_EchoRequest</w:t>
            </w:r>
          </w:p>
        </w:tc>
      </w:tr>
      <w:tr w:rsidR="000C0BEA" w:rsidTr="000771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/>
        </w:trPr>
        <w:tc>
          <w:tcPr>
            <w:tcW w:w="2785" w:type="dxa"/>
            <w:vAlign w:val="center"/>
          </w:tcPr>
          <w:p w:rsidR="000771A4" w:rsidRPr="000771A4" w:rsidRDefault="000771A4" w:rsidP="000771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Echo Reply</w:t>
            </w:r>
          </w:p>
          <w:p w:rsidR="000C0BEA" w:rsidRDefault="000C0BEA">
            <w:pPr>
              <w:autoSpaceDE w:val="0"/>
              <w:autoSpaceDN w:val="0"/>
              <w:adjustRightInd w:val="0"/>
              <w:ind w:left="57"/>
              <w:rPr>
                <w:rFonts w:cs="Arial"/>
                <w:noProof/>
                <w:sz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0C0BEA" w:rsidRDefault="000C0BEA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REF _Ref157479608 \r \h </w:instrText>
            </w:r>
            <w:r>
              <w:rPr>
                <w:rFonts w:cs="Arial"/>
                <w:sz w:val="20"/>
              </w:rPr>
            </w:r>
            <w:r>
              <w:rPr>
                <w:rFonts w:cs="Arial"/>
                <w:sz w:val="20"/>
              </w:rPr>
              <w:instrText xml:space="preserve"> \* MERGEFORMAT </w:instrText>
            </w:r>
            <w:r>
              <w:rPr>
                <w:rFonts w:cs="Arial"/>
                <w:sz w:val="20"/>
              </w:rPr>
              <w:fldChar w:fldCharType="separate"/>
            </w:r>
            <w:r w:rsidR="00BB5CB3">
              <w:rPr>
                <w:rFonts w:cs="Arial"/>
                <w:sz w:val="20"/>
              </w:rPr>
              <w:t>[6]</w:t>
            </w:r>
            <w:r>
              <w:rPr>
                <w:rFonts w:cs="Arial"/>
                <w:sz w:val="20"/>
              </w:rPr>
              <w:fldChar w:fldCharType="end"/>
            </w:r>
            <w:r>
              <w:rPr>
                <w:rFonts w:cs="Arial"/>
                <w:sz w:val="20"/>
              </w:rPr>
              <w:t xml:space="preserve"> </w:t>
            </w:r>
            <w:r w:rsidR="000771A4">
              <w:rPr>
                <w:rFonts w:cs="Arial"/>
                <w:sz w:val="20"/>
              </w:rPr>
              <w:t>4.2</w:t>
            </w:r>
          </w:p>
        </w:tc>
        <w:tc>
          <w:tcPr>
            <w:tcW w:w="3731" w:type="dxa"/>
            <w:vAlign w:val="center"/>
          </w:tcPr>
          <w:p w:rsidR="000C0BEA" w:rsidRPr="000771A4" w:rsidRDefault="000771A4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0771A4">
              <w:rPr>
                <w:noProof/>
                <w:sz w:val="20"/>
              </w:rPr>
              <w:t>ICMPv6_EchoReply</w:t>
            </w:r>
          </w:p>
        </w:tc>
      </w:tr>
    </w:tbl>
    <w:p w:rsidR="000C0BEA" w:rsidRDefault="000C0BEA">
      <w:pPr>
        <w:pStyle w:val="BodyText"/>
        <w:spacing w:before="0"/>
        <w:ind w:left="0"/>
        <w:rPr>
          <w:lang w:val="en-US"/>
        </w:rPr>
      </w:pPr>
    </w:p>
    <w:p w:rsidR="000C0BEA" w:rsidRDefault="000C0BEA">
      <w:pPr>
        <w:pStyle w:val="Heading2"/>
        <w:rPr>
          <w:lang w:val="en-US"/>
        </w:rPr>
      </w:pPr>
      <w:bookmarkStart w:id="33" w:name="_Toc366232939"/>
      <w:r>
        <w:rPr>
          <w:lang w:val="en-US"/>
        </w:rPr>
        <w:t>Installation</w:t>
      </w:r>
      <w:bookmarkEnd w:id="32"/>
      <w:bookmarkEnd w:id="33"/>
    </w:p>
    <w:p w:rsidR="000C0BEA" w:rsidRDefault="000C0BEA">
      <w:pPr>
        <w:pStyle w:val="BodyText"/>
        <w:rPr>
          <w:lang w:val="en-US"/>
        </w:rPr>
      </w:pPr>
      <w:r>
        <w:rPr>
          <w:lang w:val="en-US"/>
        </w:rPr>
        <w:t>The set of protocol modules can be used in developing TTCN-3 test suites using any text editor. However to make the work more efficient a TTCN-3-enabled text editor is recommended</w:t>
      </w:r>
      <w:r w:rsidR="000D7D07">
        <w:rPr>
          <w:lang w:val="en-US"/>
        </w:rPr>
        <w:t>, for example</w:t>
      </w:r>
      <w:r>
        <w:rPr>
          <w:lang w:val="en-US"/>
        </w:rPr>
        <w:t xml:space="preserve"> nedit, xemacs. </w:t>
      </w:r>
      <w:r w:rsidR="000549D1">
        <w:rPr>
          <w:lang w:val="en-US"/>
        </w:rPr>
        <w:t>Since the ICMPv6</w:t>
      </w:r>
      <w:r>
        <w:rPr>
          <w:lang w:val="en-US"/>
        </w:rPr>
        <w:t xml:space="preserve"> protocol module is used as a part of a TTCN-3 test suite, this requires TTCN-3 Test Executor and a C compiler be installed before the module can be compiled and executed together with other parts of the test suite. For more details on the installation of TTCN-3 Test Executor see the relevant parts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_Ref157325156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B5CB3">
        <w:rPr>
          <w:lang w:val="en-US"/>
        </w:rPr>
        <w:t>[2]</w:t>
      </w:r>
      <w:r>
        <w:rPr>
          <w:lang w:val="en-US"/>
        </w:rPr>
        <w:fldChar w:fldCharType="end"/>
      </w:r>
    </w:p>
    <w:p w:rsidR="000549D1" w:rsidRDefault="000549D1">
      <w:pPr>
        <w:pStyle w:val="Heading2"/>
        <w:rPr>
          <w:lang w:val="en-US"/>
        </w:rPr>
      </w:pPr>
      <w:bookmarkStart w:id="34" w:name="_Toc366232940"/>
      <w:r>
        <w:rPr>
          <w:lang w:val="en-US"/>
        </w:rPr>
        <w:t>Configuration</w:t>
      </w:r>
      <w:bookmarkEnd w:id="34"/>
    </w:p>
    <w:p w:rsidR="000549D1" w:rsidRPr="000549D1" w:rsidRDefault="000549D1" w:rsidP="000549D1">
      <w:pPr>
        <w:pStyle w:val="BodyText"/>
      </w:pPr>
      <w:r>
        <w:t>None.</w:t>
      </w:r>
    </w:p>
    <w:p w:rsidR="000C0BEA" w:rsidRDefault="000C0BEA">
      <w:pPr>
        <w:pStyle w:val="Heading2"/>
        <w:rPr>
          <w:lang w:val="en-US"/>
        </w:rPr>
      </w:pPr>
      <w:bookmarkStart w:id="35" w:name="_Toc366232941"/>
      <w:r>
        <w:rPr>
          <w:lang w:val="en-US"/>
        </w:rPr>
        <w:t>Encoding</w:t>
      </w:r>
      <w:r w:rsidR="00F4048E">
        <w:rPr>
          <w:lang w:val="en-US"/>
        </w:rPr>
        <w:t>, Decoding, Checksum Calculation</w:t>
      </w:r>
      <w:bookmarkEnd w:id="35"/>
    </w:p>
    <w:p w:rsidR="00E3612D" w:rsidRDefault="00E3612D" w:rsidP="00E3612D">
      <w:pPr>
        <w:pStyle w:val="BodyText"/>
      </w:pPr>
      <w:r>
        <w:t>Implemented encoding/decoding functions:</w:t>
      </w:r>
    </w:p>
    <w:p w:rsidR="00E3612D" w:rsidRDefault="00E3612D" w:rsidP="00E3612D">
      <w:pPr>
        <w:pStyle w:val="BodyText"/>
        <w:tabs>
          <w:tab w:val="clear" w:pos="5216"/>
          <w:tab w:val="clear" w:pos="7768"/>
          <w:tab w:val="left" w:pos="5812"/>
          <w:tab w:val="left" w:pos="8080"/>
        </w:tabs>
        <w:rPr>
          <w:rFonts w:ascii="Arial Narrow" w:hAnsi="Arial Narrow"/>
          <w:b/>
          <w:bCs/>
          <w:noProof/>
          <w:sz w:val="20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>
        <w:rPr>
          <w:rFonts w:ascii="Arial Narrow" w:hAnsi="Arial Narrow"/>
          <w:b/>
          <w:bCs/>
          <w:noProof/>
          <w:sz w:val="20"/>
        </w:rPr>
        <w:t>f_enc_PDU_ICMPv6                      PDU_ICMPv6,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>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 xml:space="preserve">                    octetstring</w:t>
      </w:r>
      <w:r>
        <w:rPr>
          <w:rFonts w:ascii="Arial Narrow" w:hAnsi="Arial Narrow"/>
          <w:b/>
          <w:bCs/>
          <w:noProof/>
          <w:sz w:val="20"/>
        </w:rPr>
        <w:br/>
        <w:t>f_dec_PDU_ICMPv6</w:t>
      </w:r>
      <w:r>
        <w:rPr>
          <w:rFonts w:ascii="Arial Narrow" w:hAnsi="Arial Narrow"/>
          <w:b/>
          <w:bCs/>
          <w:noProof/>
          <w:sz w:val="20"/>
        </w:rPr>
        <w:tab/>
        <w:t>octetstring</w:t>
      </w:r>
      <w:r>
        <w:rPr>
          <w:rFonts w:ascii="Arial Narrow" w:hAnsi="Arial Narrow"/>
          <w:b/>
          <w:bCs/>
          <w:noProof/>
          <w:sz w:val="20"/>
        </w:rPr>
        <w:tab/>
        <w:t xml:space="preserve">    PDU_ICMPv6</w:t>
      </w:r>
    </w:p>
    <w:p w:rsidR="000549D1" w:rsidRDefault="00E3612D" w:rsidP="00E3612D">
      <w:pPr>
        <w:pStyle w:val="BodyText"/>
      </w:pPr>
      <w:r>
        <w:t xml:space="preserve">The encoding function </w:t>
      </w:r>
      <w:r>
        <w:rPr>
          <w:rFonts w:ascii="Arial Narrow" w:hAnsi="Arial Narrow"/>
          <w:b/>
          <w:bCs/>
          <w:noProof/>
          <w:sz w:val="20"/>
        </w:rPr>
        <w:t xml:space="preserve">f_enc_PDU_ICMPv6 </w:t>
      </w:r>
      <w:r w:rsidRPr="00E3612D">
        <w:rPr>
          <w:rFonts w:cs="Arial"/>
          <w:bCs/>
          <w:noProof/>
          <w:szCs w:val="22"/>
        </w:rPr>
        <w:t>pe</w:t>
      </w:r>
      <w:r>
        <w:rPr>
          <w:rFonts w:cs="Arial"/>
          <w:bCs/>
          <w:noProof/>
          <w:szCs w:val="22"/>
        </w:rPr>
        <w:t>rforms basic RAW encoding</w:t>
      </w:r>
      <w:r w:rsidR="003C7791">
        <w:rPr>
          <w:rFonts w:cs="Arial"/>
          <w:bCs/>
          <w:noProof/>
          <w:szCs w:val="22"/>
        </w:rPr>
        <w:t xml:space="preserve"> </w:t>
      </w:r>
      <w:r w:rsidR="003C7791">
        <w:rPr>
          <w:lang w:val="en-US"/>
        </w:rPr>
        <w:fldChar w:fldCharType="begin"/>
      </w:r>
      <w:r w:rsidR="003C7791">
        <w:rPr>
          <w:lang w:val="en-US"/>
        </w:rPr>
        <w:instrText xml:space="preserve"> REF _Ref157325156 \r \h </w:instrText>
      </w:r>
      <w:r w:rsidR="003C7791">
        <w:rPr>
          <w:lang w:val="en-US"/>
        </w:rPr>
      </w:r>
      <w:r w:rsidR="003C7791">
        <w:rPr>
          <w:lang w:val="en-US"/>
        </w:rPr>
        <w:fldChar w:fldCharType="separate"/>
      </w:r>
      <w:r w:rsidR="00BB5CB3">
        <w:rPr>
          <w:lang w:val="en-US"/>
        </w:rPr>
        <w:t>[2]</w:t>
      </w:r>
      <w:r w:rsidR="003C7791">
        <w:rPr>
          <w:lang w:val="en-US"/>
        </w:rPr>
        <w:fldChar w:fldCharType="end"/>
      </w:r>
      <w:r>
        <w:rPr>
          <w:rFonts w:ascii="Arial Narrow" w:hAnsi="Arial Narrow"/>
          <w:bCs/>
          <w:noProof/>
          <w:sz w:val="20"/>
        </w:rPr>
        <w:t>.</w:t>
      </w:r>
      <w:r>
        <w:t xml:space="preserve">  </w:t>
      </w:r>
      <w:r w:rsidR="00652863">
        <w:br/>
      </w:r>
      <w:r w:rsidR="000549D1">
        <w:t>In addition to</w:t>
      </w:r>
      <w:r w:rsidR="00652863">
        <w:t xml:space="preserve"> encoding</w:t>
      </w:r>
      <w:r w:rsidR="000549D1">
        <w:t xml:space="preserve"> functionality </w:t>
      </w:r>
      <w:r w:rsidR="00652863">
        <w:t>this function</w:t>
      </w:r>
      <w:r w:rsidR="000549D1">
        <w:t xml:space="preserve"> </w:t>
      </w:r>
      <w:r w:rsidR="005B5434">
        <w:t>can calculate the checksum field</w:t>
      </w:r>
      <w:r>
        <w:t>.</w:t>
      </w:r>
      <w:r w:rsidR="00652863">
        <w:t xml:space="preserve"> </w:t>
      </w:r>
      <w:r w:rsidR="000549D1">
        <w:t xml:space="preserve">The checksum is automatically calculated during encoding if the user sets the </w:t>
      </w:r>
      <w:r w:rsidR="00F4048E">
        <w:t>PDU_ICMPv6</w:t>
      </w:r>
      <w:r w:rsidR="000549D1">
        <w:t>’s checksum field to ‘0000’O.  For calculating the correct checksum the us</w:t>
      </w:r>
      <w:r w:rsidR="00F4048E">
        <w:t>er needs to provide 2</w:t>
      </w:r>
      <w:r w:rsidR="000549D1">
        <w:t xml:space="preserve"> additional par</w:t>
      </w:r>
      <w:r>
        <w:t>ameters to the encoding function</w:t>
      </w:r>
      <w:r w:rsidR="000549D1">
        <w:t xml:space="preserve">. </w:t>
      </w:r>
      <w:r w:rsidR="00F4048E">
        <w:t>These parameters are the srcaddr and</w:t>
      </w:r>
      <w:r w:rsidR="000549D1">
        <w:t xml:space="preserve"> </w:t>
      </w:r>
      <w:r w:rsidR="00F4048E">
        <w:t>dstaddr</w:t>
      </w:r>
      <w:r w:rsidR="000549D1">
        <w:t>. The value of srcaddr is the source address in the IPv6 packet. The value of dstaddr is the destination address in the IPv6 packet.</w:t>
      </w:r>
      <w:r w:rsidR="00F4048E">
        <w:t xml:space="preserve"> </w:t>
      </w:r>
      <w:r w:rsidR="000549D1">
        <w:br/>
        <w:t xml:space="preserve">The default value for srcaddr is the dummy value ‘00000000000000000000000000000000’O.  </w:t>
      </w:r>
      <w:r w:rsidR="000549D1">
        <w:br/>
        <w:t xml:space="preserve">The default value for dstaddr is the dummy value ‘00000000000000000000000000000000’O.  </w:t>
      </w:r>
      <w:r w:rsidR="000549D1">
        <w:br/>
        <w:t xml:space="preserve">If </w:t>
      </w:r>
      <w:r w:rsidR="00F4048E">
        <w:t>the user sets the PDU_ICMPv6</w:t>
      </w:r>
      <w:r w:rsidR="000549D1">
        <w:t>’s checksum field to a value different from ‘0000’O then this user defined value will appear in the encoded message.</w:t>
      </w:r>
    </w:p>
    <w:p w:rsidR="0000153A" w:rsidRDefault="00E3612D" w:rsidP="00305BA0">
      <w:pPr>
        <w:pStyle w:val="BodyText"/>
        <w:rPr>
          <w:rFonts w:cs="Arial"/>
          <w:bCs/>
          <w:noProof/>
          <w:szCs w:val="22"/>
        </w:rPr>
      </w:pPr>
      <w:r>
        <w:lastRenderedPageBreak/>
        <w:t xml:space="preserve">The decoding function </w:t>
      </w:r>
      <w:r>
        <w:rPr>
          <w:rFonts w:ascii="Arial Narrow" w:hAnsi="Arial Narrow"/>
          <w:b/>
          <w:bCs/>
          <w:noProof/>
          <w:sz w:val="20"/>
        </w:rPr>
        <w:t xml:space="preserve">f_dec_PDU_ICMPv6 </w:t>
      </w:r>
      <w:r w:rsidRPr="00E3612D">
        <w:rPr>
          <w:rFonts w:cs="Arial"/>
          <w:bCs/>
          <w:noProof/>
          <w:szCs w:val="22"/>
        </w:rPr>
        <w:t>performs basic RAW decoding</w:t>
      </w:r>
      <w:r w:rsidR="003C7791">
        <w:rPr>
          <w:rFonts w:cs="Arial"/>
          <w:bCs/>
          <w:noProof/>
          <w:szCs w:val="22"/>
        </w:rPr>
        <w:t xml:space="preserve"> </w:t>
      </w:r>
      <w:r w:rsidR="003C7791">
        <w:rPr>
          <w:lang w:val="en-US"/>
        </w:rPr>
        <w:fldChar w:fldCharType="begin"/>
      </w:r>
      <w:r w:rsidR="003C7791">
        <w:rPr>
          <w:lang w:val="en-US"/>
        </w:rPr>
        <w:instrText xml:space="preserve"> REF _Ref157325156 \r \h </w:instrText>
      </w:r>
      <w:r w:rsidR="003C7791">
        <w:rPr>
          <w:lang w:val="en-US"/>
        </w:rPr>
      </w:r>
      <w:r w:rsidR="003C7791">
        <w:rPr>
          <w:lang w:val="en-US"/>
        </w:rPr>
        <w:fldChar w:fldCharType="separate"/>
      </w:r>
      <w:r w:rsidR="00BB5CB3">
        <w:rPr>
          <w:lang w:val="en-US"/>
        </w:rPr>
        <w:t>[2]</w:t>
      </w:r>
      <w:r w:rsidR="003C7791">
        <w:rPr>
          <w:lang w:val="en-US"/>
        </w:rPr>
        <w:fldChar w:fldCharType="end"/>
      </w:r>
      <w:r>
        <w:rPr>
          <w:rFonts w:cs="Arial"/>
          <w:bCs/>
          <w:noProof/>
          <w:szCs w:val="22"/>
        </w:rPr>
        <w:t xml:space="preserve">.  </w:t>
      </w:r>
      <w:r w:rsidR="005B5434">
        <w:rPr>
          <w:rFonts w:cs="Arial"/>
          <w:bCs/>
          <w:noProof/>
          <w:szCs w:val="22"/>
        </w:rPr>
        <w:t>The checksum field</w:t>
      </w:r>
      <w:r>
        <w:rPr>
          <w:rFonts w:cs="Arial"/>
          <w:bCs/>
          <w:noProof/>
          <w:szCs w:val="22"/>
        </w:rPr>
        <w:t xml:space="preserve"> is not verified</w:t>
      </w:r>
      <w:r w:rsidR="0000153A">
        <w:rPr>
          <w:rFonts w:cs="Arial"/>
          <w:bCs/>
          <w:noProof/>
          <w:szCs w:val="22"/>
        </w:rPr>
        <w:t xml:space="preserve"> during decoding</w:t>
      </w:r>
      <w:r>
        <w:rPr>
          <w:rFonts w:cs="Arial"/>
          <w:bCs/>
          <w:noProof/>
          <w:szCs w:val="22"/>
        </w:rPr>
        <w:t>.</w:t>
      </w:r>
    </w:p>
    <w:p w:rsidR="00E3612D" w:rsidRDefault="0000153A" w:rsidP="00E3612D">
      <w:pPr>
        <w:pStyle w:val="BodyText"/>
      </w:pPr>
      <w:r>
        <w:t>There is</w:t>
      </w:r>
      <w:r w:rsidR="00E3612D">
        <w:t xml:space="preserve"> a</w:t>
      </w:r>
      <w:r>
        <w:t>n additional</w:t>
      </w:r>
      <w:r w:rsidR="00E3612D">
        <w:t xml:space="preserve"> function which verifies the </w:t>
      </w:r>
      <w:r>
        <w:t xml:space="preserve">checksum </w:t>
      </w:r>
      <w:r w:rsidR="005B5434">
        <w:t>field</w:t>
      </w:r>
      <w:r w:rsidR="00E3612D">
        <w:t xml:space="preserve"> in an encoded ICMPv6 message:</w:t>
      </w:r>
    </w:p>
    <w:p w:rsidR="00652863" w:rsidRPr="0000153A" w:rsidRDefault="00E3612D" w:rsidP="0000153A">
      <w:pPr>
        <w:pStyle w:val="BodyText"/>
        <w:rPr>
          <w:rFonts w:cs="Arial"/>
          <w:bCs/>
          <w:noProof/>
          <w:szCs w:val="22"/>
        </w:rPr>
      </w:pPr>
      <w:r>
        <w:rPr>
          <w:rFonts w:ascii="Arial Narrow" w:hAnsi="Arial Narrow"/>
          <w:sz w:val="20"/>
        </w:rPr>
        <w:t xml:space="preserve">      </w:t>
      </w:r>
      <w:r>
        <w:rPr>
          <w:rFonts w:ascii="Arial Narrow" w:hAnsi="Arial Narrow"/>
          <w:sz w:val="20"/>
          <w:u w:val="single"/>
        </w:rPr>
        <w:t>Name</w:t>
      </w:r>
      <w:r>
        <w:rPr>
          <w:rFonts w:ascii="Arial Narrow" w:hAnsi="Arial Narrow"/>
          <w:sz w:val="20"/>
        </w:rPr>
        <w:tab/>
        <w:t xml:space="preserve">                              </w:t>
      </w:r>
      <w:r>
        <w:rPr>
          <w:rFonts w:ascii="Arial Narrow" w:hAnsi="Arial Narrow"/>
          <w:sz w:val="20"/>
          <w:u w:val="single"/>
        </w:rPr>
        <w:t>Type of formal parameters</w:t>
      </w:r>
      <w:r>
        <w:rPr>
          <w:rFonts w:ascii="Arial Narrow" w:hAnsi="Arial Narrow"/>
          <w:sz w:val="20"/>
        </w:rPr>
        <w:tab/>
        <w:t xml:space="preserve">       </w:t>
      </w:r>
      <w:r>
        <w:rPr>
          <w:rFonts w:ascii="Arial Narrow" w:hAnsi="Arial Narrow"/>
          <w:sz w:val="20"/>
          <w:u w:val="single"/>
        </w:rPr>
        <w:t>Type of return value</w:t>
      </w:r>
      <w:r>
        <w:rPr>
          <w:rFonts w:ascii="Arial Narrow" w:hAnsi="Arial Narrow"/>
          <w:sz w:val="20"/>
        </w:rPr>
        <w:br/>
      </w:r>
      <w:r>
        <w:rPr>
          <w:rFonts w:ascii="Arial Narrow" w:hAnsi="Arial Narrow"/>
          <w:b/>
          <w:bCs/>
          <w:noProof/>
          <w:sz w:val="20"/>
        </w:rPr>
        <w:t>f_ICMPv6_verify_checksum</w:t>
      </w:r>
      <w:r>
        <w:rPr>
          <w:rFonts w:ascii="Arial Narrow" w:hAnsi="Arial Narrow"/>
          <w:b/>
          <w:bCs/>
          <w:noProof/>
          <w:sz w:val="20"/>
        </w:rPr>
        <w:tab/>
        <w:t>octetstring,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>,</w:t>
      </w:r>
      <w:r w:rsidRPr="000B3260">
        <w:t xml:space="preserve"> </w:t>
      </w:r>
      <w:r w:rsidRPr="000B3260">
        <w:rPr>
          <w:rFonts w:ascii="Arial Narrow" w:hAnsi="Arial Narrow"/>
          <w:b/>
          <w:bCs/>
          <w:noProof/>
          <w:sz w:val="20"/>
        </w:rPr>
        <w:t>OCT16</w:t>
      </w:r>
      <w:r>
        <w:rPr>
          <w:rFonts w:ascii="Arial Narrow" w:hAnsi="Arial Narrow"/>
          <w:b/>
          <w:bCs/>
          <w:noProof/>
          <w:sz w:val="20"/>
        </w:rPr>
        <w:t xml:space="preserve">                     boolean</w:t>
      </w:r>
      <w:r>
        <w:rPr>
          <w:rFonts w:ascii="Arial Narrow" w:hAnsi="Arial Narrow"/>
          <w:b/>
          <w:bCs/>
          <w:noProof/>
          <w:sz w:val="20"/>
        </w:rPr>
        <w:br/>
      </w:r>
      <w:r w:rsidR="00652863">
        <w:rPr>
          <w:rFonts w:ascii="Arial Narrow" w:hAnsi="Arial Narrow"/>
          <w:b/>
          <w:bCs/>
          <w:noProof/>
          <w:sz w:val="20"/>
        </w:rPr>
        <w:br/>
      </w:r>
      <w:r w:rsidR="00652863" w:rsidRPr="00652863">
        <w:rPr>
          <w:rFonts w:cs="Arial"/>
          <w:bCs/>
          <w:noProof/>
          <w:szCs w:val="22"/>
        </w:rPr>
        <w:t>The inputs into this function</w:t>
      </w:r>
      <w:r w:rsidR="003C7791">
        <w:rPr>
          <w:rFonts w:cs="Arial"/>
          <w:bCs/>
          <w:noProof/>
          <w:szCs w:val="22"/>
        </w:rPr>
        <w:t xml:space="preserve"> are the</w:t>
      </w:r>
      <w:r w:rsidR="00652863">
        <w:rPr>
          <w:rFonts w:cs="Arial"/>
          <w:bCs/>
          <w:noProof/>
          <w:szCs w:val="22"/>
        </w:rPr>
        <w:t xml:space="preserve"> encoded ICMPv6 message and the source and destination addresses of the IPv6 packet.</w:t>
      </w:r>
      <w:r w:rsidR="0000153A">
        <w:rPr>
          <w:rFonts w:cs="Arial"/>
          <w:bCs/>
          <w:noProof/>
          <w:szCs w:val="22"/>
        </w:rPr>
        <w:t xml:space="preserve"> </w:t>
      </w:r>
      <w:r w:rsidR="0000153A">
        <w:rPr>
          <w:rFonts w:cs="Arial"/>
          <w:bCs/>
          <w:noProof/>
          <w:szCs w:val="22"/>
        </w:rPr>
        <w:br/>
      </w:r>
      <w:r w:rsidR="0000153A">
        <w:t xml:space="preserve">The default value for srcaddr is the dummy value ‘00000000000000000000000000000000’O.  </w:t>
      </w:r>
      <w:r w:rsidR="0000153A">
        <w:br/>
        <w:t xml:space="preserve">The default value for dstaddr is the dummy value ‘00000000000000000000000000000000’O.  </w:t>
      </w:r>
      <w:r w:rsidR="0000153A">
        <w:rPr>
          <w:rFonts w:cs="Arial"/>
          <w:bCs/>
          <w:noProof/>
          <w:szCs w:val="22"/>
        </w:rPr>
        <w:br/>
        <w:t>The function returns “true” if the checksum is correct and “false” if it is incorrect.</w:t>
      </w:r>
    </w:p>
    <w:p w:rsidR="00E3612D" w:rsidRDefault="00E3612D">
      <w:pPr>
        <w:pStyle w:val="BodyText"/>
        <w:rPr>
          <w:rFonts w:cs="Arial"/>
          <w:bCs/>
          <w:noProof/>
          <w:szCs w:val="22"/>
        </w:rPr>
      </w:pPr>
    </w:p>
    <w:p w:rsidR="000C0BEA" w:rsidRDefault="00E3612D">
      <w:pPr>
        <w:pStyle w:val="BodyText"/>
      </w:pPr>
      <w:r>
        <w:rPr>
          <w:rFonts w:ascii="Arial Narrow" w:hAnsi="Arial Narrow"/>
          <w:b/>
          <w:bCs/>
          <w:noProof/>
          <w:sz w:val="20"/>
        </w:rPr>
        <w:t xml:space="preserve"> </w:t>
      </w:r>
    </w:p>
    <w:sectPr w:rsidR="000C0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CD1" w:rsidRDefault="00E14CD1">
      <w:r>
        <w:separator/>
      </w:r>
    </w:p>
  </w:endnote>
  <w:endnote w:type="continuationSeparator" w:id="0">
    <w:p w:rsidR="00E14CD1" w:rsidRDefault="00E1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B3" w:rsidRDefault="00BB5C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B3" w:rsidRPr="00BB5CB3" w:rsidRDefault="00BB5CB3" w:rsidP="00BB5C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B3" w:rsidRDefault="00BB5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CD1" w:rsidRDefault="00E14CD1">
      <w:r>
        <w:separator/>
      </w:r>
    </w:p>
  </w:footnote>
  <w:footnote w:type="continuationSeparator" w:id="0">
    <w:p w:rsidR="00E14CD1" w:rsidRDefault="00E1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B3" w:rsidRDefault="00BB5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0C0BEA" w:rsidRPr="00D87FA9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0C0BEA" w:rsidRPr="00D87FA9" w:rsidRDefault="000C0BEA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0C0BEA" w:rsidRPr="00D87FA9" w:rsidRDefault="000C0BEA">
          <w:pPr>
            <w:pStyle w:val="Header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"Information"  \* MERGEFORMAT </w:instrText>
          </w:r>
          <w:r w:rsidRPr="00D87FA9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0C0BEA" w:rsidRPr="00D87FA9" w:rsidRDefault="000C0BEA">
          <w:pPr>
            <w:pStyle w:val="Header"/>
            <w:rPr>
              <w:sz w:val="20"/>
            </w:rPr>
          </w:pPr>
        </w:p>
      </w:tc>
    </w:tr>
    <w:tr w:rsidR="000C0BEA" w:rsidRPr="00D87FA9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0C0BEA" w:rsidRPr="00D87FA9" w:rsidRDefault="006F1BCD">
          <w:pPr>
            <w:pStyle w:val="Header"/>
          </w:pPr>
          <w:r w:rsidRPr="00D87FA9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0C0BEA" w:rsidRPr="00D87FA9" w:rsidRDefault="000C0BEA">
          <w:pPr>
            <w:pStyle w:val="Header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"SecurityClass"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Ericsson Internal</w:t>
          </w:r>
          <w:r w:rsidRPr="00D87FA9">
            <w:rPr>
              <w:sz w:val="20"/>
            </w:rPr>
            <w:fldChar w:fldCharType="end"/>
          </w:r>
        </w:p>
        <w:p w:rsidR="000C0BEA" w:rsidRPr="00D87FA9" w:rsidRDefault="000C0BEA">
          <w:pPr>
            <w:pStyle w:val="Header"/>
            <w:rPr>
              <w:caps/>
              <w:sz w:val="20"/>
            </w:rPr>
          </w:pPr>
          <w:r w:rsidRPr="00D87FA9">
            <w:rPr>
              <w:caps/>
              <w:sz w:val="20"/>
            </w:rPr>
            <w:fldChar w:fldCharType="begin"/>
          </w:r>
          <w:r w:rsidRPr="00D87FA9">
            <w:rPr>
              <w:caps/>
              <w:sz w:val="20"/>
            </w:rPr>
            <w:instrText xml:space="preserve"> DOCPROPERTY "DocName" \* MERGEFORMAT </w:instrText>
          </w:r>
          <w:r w:rsidRPr="00D87FA9">
            <w:rPr>
              <w:caps/>
              <w:sz w:val="20"/>
            </w:rPr>
            <w:fldChar w:fldCharType="separate"/>
          </w:r>
          <w:r w:rsidR="00D87FA9" w:rsidRPr="00D87FA9">
            <w:rPr>
              <w:caps/>
              <w:sz w:val="20"/>
            </w:rPr>
            <w:t>USER GUIDE</w:t>
          </w:r>
          <w:r w:rsidRPr="00D87FA9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0C0BEA" w:rsidRPr="00D87FA9" w:rsidRDefault="000C0BEA">
          <w:pPr>
            <w:pStyle w:val="Header"/>
            <w:jc w:val="right"/>
            <w:rPr>
              <w:sz w:val="20"/>
            </w:rPr>
          </w:pPr>
        </w:p>
        <w:p w:rsidR="000C0BEA" w:rsidRPr="00D87FA9" w:rsidRDefault="000C0BEA">
          <w:pPr>
            <w:pStyle w:val="Header"/>
            <w:jc w:val="right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>\PAGE arab</w:instrText>
          </w:r>
          <w:r w:rsidRPr="00D87FA9">
            <w:rPr>
              <w:sz w:val="20"/>
            </w:rPr>
            <w:fldChar w:fldCharType="separate"/>
          </w:r>
          <w:r w:rsidR="006F1BCD">
            <w:rPr>
              <w:sz w:val="20"/>
            </w:rPr>
            <w:t>2</w:t>
          </w:r>
          <w:r w:rsidRPr="00D87FA9">
            <w:rPr>
              <w:sz w:val="20"/>
            </w:rPr>
            <w:fldChar w:fldCharType="end"/>
          </w:r>
          <w:r w:rsidRPr="00D87FA9">
            <w:rPr>
              <w:sz w:val="20"/>
            </w:rPr>
            <w:t xml:space="preserve"> (</w:t>
          </w: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\NUMPAGES </w:instrText>
          </w:r>
          <w:r w:rsidRPr="00D87FA9">
            <w:rPr>
              <w:sz w:val="20"/>
            </w:rPr>
            <w:fldChar w:fldCharType="separate"/>
          </w:r>
          <w:r w:rsidR="006F1BCD">
            <w:rPr>
              <w:sz w:val="20"/>
            </w:rPr>
            <w:t>5</w:t>
          </w:r>
          <w:r w:rsidRPr="00D87FA9">
            <w:rPr>
              <w:sz w:val="20"/>
            </w:rPr>
            <w:fldChar w:fldCharType="end"/>
          </w:r>
          <w:r w:rsidRPr="00D87FA9">
            <w:rPr>
              <w:sz w:val="20"/>
            </w:rPr>
            <w:t>)</w:t>
          </w:r>
        </w:p>
      </w:tc>
    </w:tr>
    <w:tr w:rsidR="000C0BEA" w:rsidRPr="00D87FA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C0BEA" w:rsidRPr="00D87FA9" w:rsidRDefault="000C0BEA">
          <w:pPr>
            <w:pStyle w:val="NoSpellcheck"/>
          </w:pPr>
          <w:r w:rsidRPr="00D87FA9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0C0BEA" w:rsidRPr="00D87FA9" w:rsidRDefault="000C0BEA">
          <w:pPr>
            <w:pStyle w:val="NoSpellcheck"/>
          </w:pPr>
          <w:r w:rsidRPr="00D87FA9">
            <w:t>No.</w:t>
          </w:r>
        </w:p>
      </w:tc>
    </w:tr>
    <w:tr w:rsidR="000C0BEA" w:rsidRPr="00D87FA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0C0BEA" w:rsidRPr="00D87FA9" w:rsidRDefault="000C0BEA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"Prepared"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ETH/XZX Zoltán Schelcz</w:t>
          </w:r>
          <w:r w:rsidRPr="00D87FA9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0C0BEA" w:rsidRPr="00D87FA9" w:rsidRDefault="000C0BEA">
          <w:pPr>
            <w:pStyle w:val="Header"/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"DocNo"  "LangCode"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198 17-CNL 113 631 Uen</w:t>
          </w:r>
          <w:r w:rsidRPr="00D87FA9">
            <w:rPr>
              <w:sz w:val="20"/>
            </w:rPr>
            <w:fldChar w:fldCharType="end"/>
          </w:r>
        </w:p>
      </w:tc>
    </w:tr>
    <w:tr w:rsidR="000C0BEA" w:rsidRPr="00D87FA9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0C0BEA" w:rsidRPr="00D87FA9" w:rsidRDefault="000C0BEA">
          <w:pPr>
            <w:pStyle w:val="NoSpellcheck"/>
          </w:pPr>
          <w:r w:rsidRPr="00D87FA9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0C0BEA" w:rsidRPr="00D87FA9" w:rsidRDefault="000C0BEA">
          <w:pPr>
            <w:pStyle w:val="NoSpellcheck"/>
          </w:pPr>
          <w:r w:rsidRPr="00D87FA9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0C0BEA" w:rsidRPr="00D87FA9" w:rsidRDefault="000C0BEA">
          <w:pPr>
            <w:pStyle w:val="NoSpellcheck"/>
          </w:pPr>
          <w:r w:rsidRPr="00D87FA9">
            <w:t>Date</w:t>
          </w:r>
        </w:p>
      </w:tc>
      <w:tc>
        <w:tcPr>
          <w:tcW w:w="964" w:type="dxa"/>
        </w:tcPr>
        <w:p w:rsidR="000C0BEA" w:rsidRPr="00D87FA9" w:rsidRDefault="000C0BEA">
          <w:pPr>
            <w:pStyle w:val="NoSpellcheck"/>
          </w:pPr>
          <w:r w:rsidRPr="00D87FA9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0C0BEA" w:rsidRPr="00D87FA9" w:rsidRDefault="000C0BEA">
          <w:pPr>
            <w:pStyle w:val="NoSpellcheck"/>
          </w:pPr>
          <w:r w:rsidRPr="00D87FA9">
            <w:t>Reference</w:t>
          </w:r>
        </w:p>
      </w:tc>
    </w:tr>
    <w:tr w:rsidR="000C0BEA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0C0BEA" w:rsidRPr="00D87FA9" w:rsidRDefault="000C0BEA">
          <w:pPr>
            <w:pStyle w:val="Header"/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"ApprovedBy"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ETH/RZXC (Elemer Lelik)</w:t>
          </w:r>
          <w:r w:rsidRPr="00D87FA9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0C0BEA" w:rsidRPr="00D87FA9" w:rsidRDefault="000C0BEA">
          <w:pPr>
            <w:pStyle w:val="Header"/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"Checked" \* MERGEFORMAT </w:instrText>
          </w:r>
          <w:r w:rsidR="000D7D07"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EKOVJNO</w:t>
          </w:r>
          <w:r w:rsidRPr="00D87FA9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0C0BEA" w:rsidRPr="00D87FA9" w:rsidRDefault="000C0BEA">
          <w:pPr>
            <w:pStyle w:val="Header"/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"Date"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2013-09-06</w:t>
          </w:r>
          <w:r w:rsidRPr="00D87FA9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0C0BEA" w:rsidRPr="00D87FA9" w:rsidRDefault="000C0BEA">
          <w:pPr>
            <w:pStyle w:val="Header"/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"Revision"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A</w:t>
          </w:r>
          <w:r w:rsidRPr="00D87FA9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0C0BEA" w:rsidRPr="00D87FA9" w:rsidRDefault="000C0BEA">
          <w:pPr>
            <w:pStyle w:val="Header"/>
            <w:spacing w:before="40"/>
            <w:rPr>
              <w:sz w:val="20"/>
            </w:rPr>
          </w:pPr>
          <w:r w:rsidRPr="00D87FA9">
            <w:rPr>
              <w:sz w:val="20"/>
            </w:rPr>
            <w:fldChar w:fldCharType="begin"/>
          </w:r>
          <w:r w:rsidRPr="00D87FA9">
            <w:rPr>
              <w:sz w:val="20"/>
            </w:rPr>
            <w:instrText xml:space="preserve"> DOCPROPERTY "Reference" \* MERGEFORMAT </w:instrText>
          </w:r>
          <w:r w:rsidRPr="00D87FA9">
            <w:rPr>
              <w:sz w:val="20"/>
            </w:rPr>
            <w:fldChar w:fldCharType="separate"/>
          </w:r>
          <w:r w:rsidR="00D87FA9" w:rsidRPr="00D87FA9">
            <w:rPr>
              <w:sz w:val="20"/>
            </w:rPr>
            <w:t>GASK2</w:t>
          </w:r>
          <w:r w:rsidRPr="00D87FA9">
            <w:rPr>
              <w:sz w:val="20"/>
            </w:rPr>
            <w:fldChar w:fldCharType="end"/>
          </w:r>
        </w:p>
      </w:tc>
    </w:tr>
  </w:tbl>
  <w:p w:rsidR="000C0BEA" w:rsidRDefault="000C0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CB3" w:rsidRDefault="00BB5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B908DBE8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D7B3887"/>
    <w:multiLevelType w:val="hybridMultilevel"/>
    <w:tmpl w:val="905482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0B"/>
    <w:rsid w:val="0000153A"/>
    <w:rsid w:val="000549D1"/>
    <w:rsid w:val="000771A4"/>
    <w:rsid w:val="000C0BEA"/>
    <w:rsid w:val="000D7D07"/>
    <w:rsid w:val="002E4AF9"/>
    <w:rsid w:val="00305BA0"/>
    <w:rsid w:val="003C7791"/>
    <w:rsid w:val="00513B02"/>
    <w:rsid w:val="005B5434"/>
    <w:rsid w:val="00652863"/>
    <w:rsid w:val="006F1BCD"/>
    <w:rsid w:val="00860408"/>
    <w:rsid w:val="008A7346"/>
    <w:rsid w:val="00A4070B"/>
    <w:rsid w:val="00BB5CB3"/>
    <w:rsid w:val="00CE4526"/>
    <w:rsid w:val="00D87FA9"/>
    <w:rsid w:val="00E14CD1"/>
    <w:rsid w:val="00E3612D"/>
    <w:rsid w:val="00E705F0"/>
    <w:rsid w:val="00EA0B41"/>
    <w:rsid w:val="00F4048E"/>
    <w:rsid w:val="00FB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708D8D2-E9F8-42E9-8FA6-2B6A6261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description1">
    <w:name w:val="description1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ICMPv6 Protocol Modules for TTCN-3 Toolset with TITAN, User Guide</vt:lpstr>
    </vt:vector>
  </TitlesOfParts>
  <Company/>
  <LinksUpToDate>false</LinksUpToDate>
  <CharactersWithSpaces>7635</CharactersWithSpaces>
  <SharedDoc>false</SharedDoc>
  <HLinks>
    <vt:vector size="84" baseType="variant">
      <vt:variant>
        <vt:i4>1376319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_Toc366232941</vt:lpwstr>
      </vt:variant>
      <vt:variant>
        <vt:i4>1376319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_Toc366232940</vt:lpwstr>
      </vt:variant>
      <vt:variant>
        <vt:i4>1179711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_Toc366232939</vt:lpwstr>
      </vt:variant>
      <vt:variant>
        <vt:i4>1179711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_Toc366232938</vt:lpwstr>
      </vt:variant>
      <vt:variant>
        <vt:i4>1179711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_Toc366232937</vt:lpwstr>
      </vt:variant>
      <vt:variant>
        <vt:i4>1179711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_Toc366232936</vt:lpwstr>
      </vt:variant>
      <vt:variant>
        <vt:i4>1179711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_Toc366232935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_Toc366232934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_Toc366232933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_Toc366232932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_Toc366232931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_Toc366232930</vt:lpwstr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_Toc366232929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_Toc366232928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ICMPv6 Protocol Modules for TTCN-3 Toolset with TITAN, User Guide</dc:title>
  <dc:subject>ICMPv6 Protocol Modules for TTCN-3 Toolset with TITAN, User Guide</dc:subject>
  <dc:creator>ETH/XZX Zoltán Schelcz</dc:creator>
  <cp:keywords>ICMPv6, Users Guide, User's Guide, User Guide, TTCN-3, TTCNv3, TTCN3, Protocol</cp:keywords>
  <dc:description>198 17-CNL 113 631 Uen_x000d_Rev A</dc:description>
  <cp:lastModifiedBy>Imre Nagy</cp:lastModifiedBy>
  <cp:revision>2</cp:revision>
  <cp:lastPrinted>2008-01-14T09:50:00Z</cp:lastPrinted>
  <dcterms:created xsi:type="dcterms:W3CDTF">2018-06-04T09:29:00Z</dcterms:created>
  <dcterms:modified xsi:type="dcterms:W3CDTF">2018-06-04T09:29:00Z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Zoltán Schelcz</vt:lpwstr>
  </property>
  <property fmtid="{D5CDD505-2E9C-101B-9397-08002B2CF9AE}" pid="5" name="DocNo">
    <vt:lpwstr>198 17-CNL 113 631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ICMPv6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2013-09-06</vt:lpwstr>
  </property>
  <property fmtid="{D5CDD505-2E9C-101B-9397-08002B2CF9AE}" pid="11" name="Keyword">
    <vt:lpwstr>ICMPv6, Users Guide, User's Guide, User Guide, TTCN-3, TTCNv3, TTCN3, Protocol</vt:lpwstr>
  </property>
  <property fmtid="{D5CDD505-2E9C-101B-9397-08002B2CF9AE}" pid="12" name="ApprovedBy">
    <vt:lpwstr>ETH/RZXC (Elemer Lelik)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