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B55F0B">
        <w:t>EPTF CLL Semaphore, User Guide</w:t>
      </w:r>
      <w:r>
        <w:fldChar w:fldCharType="end"/>
      </w:r>
      <w:bookmarkEnd w:id="3"/>
    </w:p>
    <w:p w:rsidR="00B55F0B"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B55F0B" w:rsidRDefault="00B55F0B">
      <w:pPr>
        <w:pStyle w:val="TOC1"/>
        <w:tabs>
          <w:tab w:val="left" w:pos="3118"/>
        </w:tabs>
        <w:rPr>
          <w:rFonts w:ascii="Times New Roman" w:eastAsia="SimSun" w:hAnsi="Times New Roman" w:cs="Times New Roman"/>
          <w:b w:val="0"/>
          <w:sz w:val="24"/>
          <w:szCs w:val="24"/>
          <w:lang w:val="en-US" w:eastAsia="zh-CN"/>
        </w:rPr>
      </w:pPr>
      <w:hyperlink w:anchor="_Toc211150887" w:history="1">
        <w:r w:rsidRPr="006301ED">
          <w:rPr>
            <w:rStyle w:val="Hyperlink"/>
          </w:rPr>
          <w:t>1</w:t>
        </w:r>
        <w:r>
          <w:rPr>
            <w:rFonts w:ascii="Times New Roman" w:eastAsia="SimSun" w:hAnsi="Times New Roman" w:cs="Times New Roman"/>
            <w:b w:val="0"/>
            <w:sz w:val="24"/>
            <w:szCs w:val="24"/>
            <w:lang w:val="en-US" w:eastAsia="zh-CN"/>
          </w:rPr>
          <w:tab/>
        </w:r>
        <w:r w:rsidRPr="006301ED">
          <w:rPr>
            <w:rStyle w:val="Hyperlink"/>
          </w:rPr>
          <w:t>Introduction</w:t>
        </w:r>
        <w:r>
          <w:tab/>
        </w:r>
        <w:r>
          <w:fldChar w:fldCharType="begin"/>
        </w:r>
        <w:r>
          <w:instrText xml:space="preserve"> PAGEREF _Toc211150887 \h </w:instrText>
        </w:r>
        <w:r>
          <w:fldChar w:fldCharType="separate"/>
        </w:r>
        <w:r>
          <w:t>2</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88" w:history="1">
        <w:r w:rsidRPr="006301ED">
          <w:rPr>
            <w:rStyle w:val="Hyperlink"/>
          </w:rPr>
          <w:t>1.1</w:t>
        </w:r>
        <w:r>
          <w:rPr>
            <w:rFonts w:ascii="Times New Roman" w:eastAsia="SimSun" w:hAnsi="Times New Roman" w:cs="Times New Roman"/>
            <w:sz w:val="24"/>
            <w:szCs w:val="24"/>
            <w:lang w:val="en-US" w:eastAsia="zh-CN"/>
          </w:rPr>
          <w:tab/>
        </w:r>
        <w:r w:rsidRPr="006301ED">
          <w:rPr>
            <w:rStyle w:val="Hyperlink"/>
          </w:rPr>
          <w:t>Revision history</w:t>
        </w:r>
        <w:r>
          <w:tab/>
        </w:r>
        <w:r>
          <w:fldChar w:fldCharType="begin"/>
        </w:r>
        <w:r>
          <w:instrText xml:space="preserve"> PAGEREF _Toc211150888 \h </w:instrText>
        </w:r>
        <w:r>
          <w:fldChar w:fldCharType="separate"/>
        </w:r>
        <w:r>
          <w:t>2</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89" w:history="1">
        <w:r w:rsidRPr="006301ED">
          <w:rPr>
            <w:rStyle w:val="Hyperlink"/>
            <w:snapToGrid w:val="0"/>
          </w:rPr>
          <w:t>1.2</w:t>
        </w:r>
        <w:r>
          <w:rPr>
            <w:rFonts w:ascii="Times New Roman" w:eastAsia="SimSun" w:hAnsi="Times New Roman" w:cs="Times New Roman"/>
            <w:sz w:val="24"/>
            <w:szCs w:val="24"/>
            <w:lang w:val="en-US" w:eastAsia="zh-CN"/>
          </w:rPr>
          <w:tab/>
        </w:r>
        <w:r w:rsidRPr="006301ED">
          <w:rPr>
            <w:rStyle w:val="Hyperlink"/>
            <w:snapToGrid w:val="0"/>
          </w:rPr>
          <w:t>About this Document</w:t>
        </w:r>
        <w:r>
          <w:tab/>
        </w:r>
        <w:r>
          <w:fldChar w:fldCharType="begin"/>
        </w:r>
        <w:r>
          <w:instrText xml:space="preserve"> PAGEREF _Toc211150889 \h </w:instrText>
        </w:r>
        <w:r>
          <w:fldChar w:fldCharType="separate"/>
        </w:r>
        <w:r>
          <w:t>2</w:t>
        </w:r>
        <w:r>
          <w:fldChar w:fldCharType="end"/>
        </w:r>
      </w:hyperlink>
    </w:p>
    <w:p w:rsidR="00B55F0B" w:rsidRDefault="00B55F0B">
      <w:pPr>
        <w:pStyle w:val="TOC3"/>
        <w:tabs>
          <w:tab w:val="left" w:pos="3969"/>
        </w:tabs>
        <w:rPr>
          <w:rFonts w:ascii="Times New Roman" w:eastAsia="SimSun" w:hAnsi="Times New Roman" w:cs="Times New Roman"/>
          <w:sz w:val="24"/>
          <w:szCs w:val="24"/>
          <w:lang w:val="en-US" w:eastAsia="zh-CN"/>
        </w:rPr>
      </w:pPr>
      <w:hyperlink w:anchor="_Toc211150890" w:history="1">
        <w:r w:rsidRPr="006301ED">
          <w:rPr>
            <w:rStyle w:val="Hyperlink"/>
          </w:rPr>
          <w:t>1.2.1</w:t>
        </w:r>
        <w:r>
          <w:rPr>
            <w:rFonts w:ascii="Times New Roman" w:eastAsia="SimSun" w:hAnsi="Times New Roman" w:cs="Times New Roman"/>
            <w:sz w:val="24"/>
            <w:szCs w:val="24"/>
            <w:lang w:val="en-US" w:eastAsia="zh-CN"/>
          </w:rPr>
          <w:tab/>
        </w:r>
        <w:r w:rsidRPr="006301ED">
          <w:rPr>
            <w:rStyle w:val="Hyperlink"/>
          </w:rPr>
          <w:t>How to Read this Document</w:t>
        </w:r>
        <w:r>
          <w:tab/>
        </w:r>
        <w:r>
          <w:fldChar w:fldCharType="begin"/>
        </w:r>
        <w:r>
          <w:instrText xml:space="preserve"> PAGEREF _Toc211150890 \h </w:instrText>
        </w:r>
        <w:r>
          <w:fldChar w:fldCharType="separate"/>
        </w:r>
        <w:r>
          <w:t>2</w:t>
        </w:r>
        <w:r>
          <w:fldChar w:fldCharType="end"/>
        </w:r>
      </w:hyperlink>
    </w:p>
    <w:p w:rsidR="00B55F0B" w:rsidRDefault="00B55F0B">
      <w:pPr>
        <w:pStyle w:val="TOC3"/>
        <w:tabs>
          <w:tab w:val="left" w:pos="3969"/>
        </w:tabs>
        <w:rPr>
          <w:rFonts w:ascii="Times New Roman" w:eastAsia="SimSun" w:hAnsi="Times New Roman" w:cs="Times New Roman"/>
          <w:sz w:val="24"/>
          <w:szCs w:val="24"/>
          <w:lang w:val="en-US" w:eastAsia="zh-CN"/>
        </w:rPr>
      </w:pPr>
      <w:hyperlink w:anchor="_Toc211150891" w:history="1">
        <w:r w:rsidRPr="006301ED">
          <w:rPr>
            <w:rStyle w:val="Hyperlink"/>
          </w:rPr>
          <w:t>1.2.2</w:t>
        </w:r>
        <w:r>
          <w:rPr>
            <w:rFonts w:ascii="Times New Roman" w:eastAsia="SimSun" w:hAnsi="Times New Roman" w:cs="Times New Roman"/>
            <w:sz w:val="24"/>
            <w:szCs w:val="24"/>
            <w:lang w:val="en-US" w:eastAsia="zh-CN"/>
          </w:rPr>
          <w:tab/>
        </w:r>
        <w:r w:rsidRPr="006301ED">
          <w:rPr>
            <w:rStyle w:val="Hyperlink"/>
          </w:rPr>
          <w:t>References</w:t>
        </w:r>
        <w:r>
          <w:tab/>
        </w:r>
        <w:r>
          <w:fldChar w:fldCharType="begin"/>
        </w:r>
        <w:r>
          <w:instrText xml:space="preserve"> PAGEREF _Toc211150891 \h </w:instrText>
        </w:r>
        <w:r>
          <w:fldChar w:fldCharType="separate"/>
        </w:r>
        <w:r>
          <w:t>2</w:t>
        </w:r>
        <w:r>
          <w:fldChar w:fldCharType="end"/>
        </w:r>
      </w:hyperlink>
    </w:p>
    <w:p w:rsidR="00B55F0B" w:rsidRDefault="00B55F0B">
      <w:pPr>
        <w:pStyle w:val="TOC3"/>
        <w:tabs>
          <w:tab w:val="left" w:pos="3969"/>
        </w:tabs>
        <w:rPr>
          <w:rFonts w:ascii="Times New Roman" w:eastAsia="SimSun" w:hAnsi="Times New Roman" w:cs="Times New Roman"/>
          <w:sz w:val="24"/>
          <w:szCs w:val="24"/>
          <w:lang w:val="en-US" w:eastAsia="zh-CN"/>
        </w:rPr>
      </w:pPr>
      <w:hyperlink w:anchor="_Toc211150892" w:history="1">
        <w:r w:rsidRPr="006301ED">
          <w:rPr>
            <w:rStyle w:val="Hyperlink"/>
          </w:rPr>
          <w:t>1.2.3</w:t>
        </w:r>
        <w:r>
          <w:rPr>
            <w:rFonts w:ascii="Times New Roman" w:eastAsia="SimSun" w:hAnsi="Times New Roman" w:cs="Times New Roman"/>
            <w:sz w:val="24"/>
            <w:szCs w:val="24"/>
            <w:lang w:val="en-US" w:eastAsia="zh-CN"/>
          </w:rPr>
          <w:tab/>
        </w:r>
        <w:r w:rsidRPr="006301ED">
          <w:rPr>
            <w:rStyle w:val="Hyperlink"/>
          </w:rPr>
          <w:t>Abbreviations</w:t>
        </w:r>
        <w:r>
          <w:tab/>
        </w:r>
        <w:r>
          <w:fldChar w:fldCharType="begin"/>
        </w:r>
        <w:r>
          <w:instrText xml:space="preserve"> PAGEREF _Toc211150892 \h </w:instrText>
        </w:r>
        <w:r>
          <w:fldChar w:fldCharType="separate"/>
        </w:r>
        <w:r>
          <w:t>3</w:t>
        </w:r>
        <w:r>
          <w:fldChar w:fldCharType="end"/>
        </w:r>
      </w:hyperlink>
    </w:p>
    <w:p w:rsidR="00B55F0B" w:rsidRDefault="00B55F0B">
      <w:pPr>
        <w:pStyle w:val="TOC3"/>
        <w:tabs>
          <w:tab w:val="left" w:pos="3969"/>
        </w:tabs>
        <w:rPr>
          <w:rFonts w:ascii="Times New Roman" w:eastAsia="SimSun" w:hAnsi="Times New Roman" w:cs="Times New Roman"/>
          <w:sz w:val="24"/>
          <w:szCs w:val="24"/>
          <w:lang w:val="en-US" w:eastAsia="zh-CN"/>
        </w:rPr>
      </w:pPr>
      <w:hyperlink w:anchor="_Toc211150893" w:history="1">
        <w:r w:rsidRPr="006301ED">
          <w:rPr>
            <w:rStyle w:val="Hyperlink"/>
          </w:rPr>
          <w:t>1.2.4</w:t>
        </w:r>
        <w:r>
          <w:rPr>
            <w:rFonts w:ascii="Times New Roman" w:eastAsia="SimSun" w:hAnsi="Times New Roman" w:cs="Times New Roman"/>
            <w:sz w:val="24"/>
            <w:szCs w:val="24"/>
            <w:lang w:val="en-US" w:eastAsia="zh-CN"/>
          </w:rPr>
          <w:tab/>
        </w:r>
        <w:r w:rsidRPr="006301ED">
          <w:rPr>
            <w:rStyle w:val="Hyperlink"/>
          </w:rPr>
          <w:t>Terminology</w:t>
        </w:r>
        <w:r>
          <w:tab/>
        </w:r>
        <w:r>
          <w:fldChar w:fldCharType="begin"/>
        </w:r>
        <w:r>
          <w:instrText xml:space="preserve"> PAGEREF _Toc211150893 \h </w:instrText>
        </w:r>
        <w:r>
          <w:fldChar w:fldCharType="separate"/>
        </w:r>
        <w:r>
          <w:t>3</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94" w:history="1">
        <w:r w:rsidRPr="006301ED">
          <w:rPr>
            <w:rStyle w:val="Hyperlink"/>
          </w:rPr>
          <w:t>1.3</w:t>
        </w:r>
        <w:r>
          <w:rPr>
            <w:rFonts w:ascii="Times New Roman" w:eastAsia="SimSun" w:hAnsi="Times New Roman" w:cs="Times New Roman"/>
            <w:sz w:val="24"/>
            <w:szCs w:val="24"/>
            <w:lang w:val="en-US" w:eastAsia="zh-CN"/>
          </w:rPr>
          <w:tab/>
        </w:r>
        <w:r w:rsidRPr="006301ED">
          <w:rPr>
            <w:rStyle w:val="Hyperlink"/>
          </w:rPr>
          <w:t>System Requirements</w:t>
        </w:r>
        <w:r>
          <w:tab/>
        </w:r>
        <w:r>
          <w:fldChar w:fldCharType="begin"/>
        </w:r>
        <w:r>
          <w:instrText xml:space="preserve"> PAGEREF _Toc211150894 \h </w:instrText>
        </w:r>
        <w:r>
          <w:fldChar w:fldCharType="separate"/>
        </w:r>
        <w:r>
          <w:t>3</w:t>
        </w:r>
        <w:r>
          <w:fldChar w:fldCharType="end"/>
        </w:r>
      </w:hyperlink>
    </w:p>
    <w:p w:rsidR="00B55F0B" w:rsidRDefault="00B55F0B">
      <w:pPr>
        <w:pStyle w:val="TOC1"/>
        <w:tabs>
          <w:tab w:val="left" w:pos="3118"/>
        </w:tabs>
        <w:rPr>
          <w:rFonts w:ascii="Times New Roman" w:eastAsia="SimSun" w:hAnsi="Times New Roman" w:cs="Times New Roman"/>
          <w:b w:val="0"/>
          <w:sz w:val="24"/>
          <w:szCs w:val="24"/>
          <w:lang w:val="en-US" w:eastAsia="zh-CN"/>
        </w:rPr>
      </w:pPr>
      <w:hyperlink w:anchor="_Toc211150895" w:history="1">
        <w:r w:rsidRPr="006301ED">
          <w:rPr>
            <w:rStyle w:val="Hyperlink"/>
          </w:rPr>
          <w:t>2</w:t>
        </w:r>
        <w:r>
          <w:rPr>
            <w:rFonts w:ascii="Times New Roman" w:eastAsia="SimSun" w:hAnsi="Times New Roman" w:cs="Times New Roman"/>
            <w:b w:val="0"/>
            <w:sz w:val="24"/>
            <w:szCs w:val="24"/>
            <w:lang w:val="en-US" w:eastAsia="zh-CN"/>
          </w:rPr>
          <w:tab/>
        </w:r>
        <w:r w:rsidRPr="006301ED">
          <w:rPr>
            <w:rStyle w:val="Hyperlink"/>
          </w:rPr>
          <w:t>Semaphore</w:t>
        </w:r>
        <w:r>
          <w:tab/>
        </w:r>
        <w:r>
          <w:fldChar w:fldCharType="begin"/>
        </w:r>
        <w:r>
          <w:instrText xml:space="preserve"> PAGEREF _Toc211150895 \h </w:instrText>
        </w:r>
        <w:r>
          <w:fldChar w:fldCharType="separate"/>
        </w:r>
        <w:r>
          <w:t>3</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96" w:history="1">
        <w:r w:rsidRPr="006301ED">
          <w:rPr>
            <w:rStyle w:val="Hyperlink"/>
          </w:rPr>
          <w:t>2.1</w:t>
        </w:r>
        <w:r>
          <w:rPr>
            <w:rFonts w:ascii="Times New Roman" w:eastAsia="SimSun" w:hAnsi="Times New Roman" w:cs="Times New Roman"/>
            <w:sz w:val="24"/>
            <w:szCs w:val="24"/>
            <w:lang w:val="en-US" w:eastAsia="zh-CN"/>
          </w:rPr>
          <w:tab/>
        </w:r>
        <w:r w:rsidRPr="006301ED">
          <w:rPr>
            <w:rStyle w:val="Hyperlink"/>
          </w:rPr>
          <w:t>Overview</w:t>
        </w:r>
        <w:r>
          <w:tab/>
        </w:r>
        <w:r>
          <w:fldChar w:fldCharType="begin"/>
        </w:r>
        <w:r>
          <w:instrText xml:space="preserve"> PAGEREF _Toc211150896 \h </w:instrText>
        </w:r>
        <w:r>
          <w:fldChar w:fldCharType="separate"/>
        </w:r>
        <w:r>
          <w:t>3</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97" w:history="1">
        <w:r w:rsidRPr="006301ED">
          <w:rPr>
            <w:rStyle w:val="Hyperlink"/>
          </w:rPr>
          <w:t>2.2</w:t>
        </w:r>
        <w:r>
          <w:rPr>
            <w:rFonts w:ascii="Times New Roman" w:eastAsia="SimSun" w:hAnsi="Times New Roman" w:cs="Times New Roman"/>
            <w:sz w:val="24"/>
            <w:szCs w:val="24"/>
            <w:lang w:val="en-US" w:eastAsia="zh-CN"/>
          </w:rPr>
          <w:tab/>
        </w:r>
        <w:r w:rsidRPr="006301ED">
          <w:rPr>
            <w:rStyle w:val="Hyperlink"/>
          </w:rPr>
          <w:t>Description of files in this feature</w:t>
        </w:r>
        <w:r>
          <w:tab/>
        </w:r>
        <w:r>
          <w:fldChar w:fldCharType="begin"/>
        </w:r>
        <w:r>
          <w:instrText xml:space="preserve"> PAGEREF _Toc211150897 \h </w:instrText>
        </w:r>
        <w:r>
          <w:fldChar w:fldCharType="separate"/>
        </w:r>
        <w:r>
          <w:t>3</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98" w:history="1">
        <w:r w:rsidRPr="006301ED">
          <w:rPr>
            <w:rStyle w:val="Hyperlink"/>
          </w:rPr>
          <w:t>2.3</w:t>
        </w:r>
        <w:r>
          <w:rPr>
            <w:rFonts w:ascii="Times New Roman" w:eastAsia="SimSun" w:hAnsi="Times New Roman" w:cs="Times New Roman"/>
            <w:sz w:val="24"/>
            <w:szCs w:val="24"/>
            <w:lang w:val="en-US" w:eastAsia="zh-CN"/>
          </w:rPr>
          <w:tab/>
        </w:r>
        <w:r w:rsidRPr="006301ED">
          <w:rPr>
            <w:rStyle w:val="Hyperlink"/>
          </w:rPr>
          <w:t>Description of required files from other features</w:t>
        </w:r>
        <w:r>
          <w:tab/>
        </w:r>
        <w:r>
          <w:fldChar w:fldCharType="begin"/>
        </w:r>
        <w:r>
          <w:instrText xml:space="preserve"> PAGEREF _Toc211150898 \h </w:instrText>
        </w:r>
        <w:r>
          <w:fldChar w:fldCharType="separate"/>
        </w:r>
        <w:r>
          <w:t>4</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899" w:history="1">
        <w:r w:rsidRPr="006301ED">
          <w:rPr>
            <w:rStyle w:val="Hyperlink"/>
          </w:rPr>
          <w:t>2.4</w:t>
        </w:r>
        <w:r>
          <w:rPr>
            <w:rFonts w:ascii="Times New Roman" w:eastAsia="SimSun" w:hAnsi="Times New Roman" w:cs="Times New Roman"/>
            <w:sz w:val="24"/>
            <w:szCs w:val="24"/>
            <w:lang w:val="en-US" w:eastAsia="zh-CN"/>
          </w:rPr>
          <w:tab/>
        </w:r>
        <w:r w:rsidRPr="006301ED">
          <w:rPr>
            <w:rStyle w:val="Hyperlink"/>
          </w:rPr>
          <w:t>Installation</w:t>
        </w:r>
        <w:r>
          <w:tab/>
        </w:r>
        <w:r>
          <w:fldChar w:fldCharType="begin"/>
        </w:r>
        <w:r>
          <w:instrText xml:space="preserve"> PAGEREF _Toc211150899 \h </w:instrText>
        </w:r>
        <w:r>
          <w:fldChar w:fldCharType="separate"/>
        </w:r>
        <w:r>
          <w:t>4</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900" w:history="1">
        <w:r w:rsidRPr="006301ED">
          <w:rPr>
            <w:rStyle w:val="Hyperlink"/>
          </w:rPr>
          <w:t>2.5</w:t>
        </w:r>
        <w:r>
          <w:rPr>
            <w:rFonts w:ascii="Times New Roman" w:eastAsia="SimSun" w:hAnsi="Times New Roman" w:cs="Times New Roman"/>
            <w:sz w:val="24"/>
            <w:szCs w:val="24"/>
            <w:lang w:val="en-US" w:eastAsia="zh-CN"/>
          </w:rPr>
          <w:tab/>
        </w:r>
        <w:r w:rsidRPr="006301ED">
          <w:rPr>
            <w:rStyle w:val="Hyperlink"/>
          </w:rPr>
          <w:t>Configuration</w:t>
        </w:r>
        <w:r>
          <w:tab/>
        </w:r>
        <w:r>
          <w:fldChar w:fldCharType="begin"/>
        </w:r>
        <w:r>
          <w:instrText xml:space="preserve"> PAGEREF _Toc211150900 \h </w:instrText>
        </w:r>
        <w:r>
          <w:fldChar w:fldCharType="separate"/>
        </w:r>
        <w:r>
          <w:t>4</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901" w:history="1">
        <w:r w:rsidRPr="006301ED">
          <w:rPr>
            <w:rStyle w:val="Hyperlink"/>
          </w:rPr>
          <w:t>2.6</w:t>
        </w:r>
        <w:r>
          <w:rPr>
            <w:rFonts w:ascii="Times New Roman" w:eastAsia="SimSun" w:hAnsi="Times New Roman" w:cs="Times New Roman"/>
            <w:sz w:val="24"/>
            <w:szCs w:val="24"/>
            <w:lang w:val="en-US" w:eastAsia="zh-CN"/>
          </w:rPr>
          <w:tab/>
        </w:r>
        <w:r w:rsidRPr="006301ED">
          <w:rPr>
            <w:rStyle w:val="Hyperlink"/>
          </w:rPr>
          <w:t>Usage</w:t>
        </w:r>
        <w:r>
          <w:tab/>
        </w:r>
        <w:r>
          <w:fldChar w:fldCharType="begin"/>
        </w:r>
        <w:r>
          <w:instrText xml:space="preserve"> PAGEREF _Toc211150901 \h </w:instrText>
        </w:r>
        <w:r>
          <w:fldChar w:fldCharType="separate"/>
        </w:r>
        <w:r>
          <w:t>5</w:t>
        </w:r>
        <w:r>
          <w:fldChar w:fldCharType="end"/>
        </w:r>
      </w:hyperlink>
    </w:p>
    <w:p w:rsidR="00B55F0B" w:rsidRDefault="00B55F0B">
      <w:pPr>
        <w:pStyle w:val="TOC1"/>
        <w:tabs>
          <w:tab w:val="left" w:pos="3118"/>
        </w:tabs>
        <w:rPr>
          <w:rFonts w:ascii="Times New Roman" w:eastAsia="SimSun" w:hAnsi="Times New Roman" w:cs="Times New Roman"/>
          <w:b w:val="0"/>
          <w:sz w:val="24"/>
          <w:szCs w:val="24"/>
          <w:lang w:val="en-US" w:eastAsia="zh-CN"/>
        </w:rPr>
      </w:pPr>
      <w:hyperlink w:anchor="_Toc211150902" w:history="1">
        <w:r w:rsidRPr="006301ED">
          <w:rPr>
            <w:rStyle w:val="Hyperlink"/>
          </w:rPr>
          <w:t>3</w:t>
        </w:r>
        <w:r>
          <w:rPr>
            <w:rFonts w:ascii="Times New Roman" w:eastAsia="SimSun" w:hAnsi="Times New Roman" w:cs="Times New Roman"/>
            <w:b w:val="0"/>
            <w:sz w:val="24"/>
            <w:szCs w:val="24"/>
            <w:lang w:val="en-US" w:eastAsia="zh-CN"/>
          </w:rPr>
          <w:tab/>
        </w:r>
        <w:r w:rsidRPr="006301ED">
          <w:rPr>
            <w:rStyle w:val="Hyperlink"/>
          </w:rPr>
          <w:t>Error messages</w:t>
        </w:r>
        <w:r>
          <w:tab/>
        </w:r>
        <w:r>
          <w:fldChar w:fldCharType="begin"/>
        </w:r>
        <w:r>
          <w:instrText xml:space="preserve"> PAGEREF _Toc211150902 \h </w:instrText>
        </w:r>
        <w:r>
          <w:fldChar w:fldCharType="separate"/>
        </w:r>
        <w:r>
          <w:t>5</w:t>
        </w:r>
        <w:r>
          <w:fldChar w:fldCharType="end"/>
        </w:r>
      </w:hyperlink>
    </w:p>
    <w:p w:rsidR="00B55F0B" w:rsidRDefault="00B55F0B">
      <w:pPr>
        <w:pStyle w:val="TOC1"/>
        <w:tabs>
          <w:tab w:val="left" w:pos="3118"/>
        </w:tabs>
        <w:rPr>
          <w:rFonts w:ascii="Times New Roman" w:eastAsia="SimSun" w:hAnsi="Times New Roman" w:cs="Times New Roman"/>
          <w:b w:val="0"/>
          <w:sz w:val="24"/>
          <w:szCs w:val="24"/>
          <w:lang w:val="en-US" w:eastAsia="zh-CN"/>
        </w:rPr>
      </w:pPr>
      <w:hyperlink w:anchor="_Toc211150903" w:history="1">
        <w:r w:rsidRPr="006301ED">
          <w:rPr>
            <w:rStyle w:val="Hyperlink"/>
          </w:rPr>
          <w:t>4</w:t>
        </w:r>
        <w:r>
          <w:rPr>
            <w:rFonts w:ascii="Times New Roman" w:eastAsia="SimSun" w:hAnsi="Times New Roman" w:cs="Times New Roman"/>
            <w:b w:val="0"/>
            <w:sz w:val="24"/>
            <w:szCs w:val="24"/>
            <w:lang w:val="en-US" w:eastAsia="zh-CN"/>
          </w:rPr>
          <w:tab/>
        </w:r>
        <w:r w:rsidRPr="006301ED">
          <w:rPr>
            <w:rStyle w:val="Hyperlink"/>
          </w:rPr>
          <w:t>Warning messages</w:t>
        </w:r>
        <w:r>
          <w:tab/>
        </w:r>
        <w:r>
          <w:fldChar w:fldCharType="begin"/>
        </w:r>
        <w:r>
          <w:instrText xml:space="preserve"> PAGEREF _Toc211150903 \h </w:instrText>
        </w:r>
        <w:r>
          <w:fldChar w:fldCharType="separate"/>
        </w:r>
        <w:r>
          <w:t>5</w:t>
        </w:r>
        <w:r>
          <w:fldChar w:fldCharType="end"/>
        </w:r>
      </w:hyperlink>
    </w:p>
    <w:p w:rsidR="00B55F0B" w:rsidRDefault="00B55F0B">
      <w:pPr>
        <w:pStyle w:val="TOC1"/>
        <w:tabs>
          <w:tab w:val="left" w:pos="3118"/>
        </w:tabs>
        <w:rPr>
          <w:rFonts w:ascii="Times New Roman" w:eastAsia="SimSun" w:hAnsi="Times New Roman" w:cs="Times New Roman"/>
          <w:b w:val="0"/>
          <w:sz w:val="24"/>
          <w:szCs w:val="24"/>
          <w:lang w:val="en-US" w:eastAsia="zh-CN"/>
        </w:rPr>
      </w:pPr>
      <w:hyperlink w:anchor="_Toc211150904" w:history="1">
        <w:r w:rsidRPr="006301ED">
          <w:rPr>
            <w:rStyle w:val="Hyperlink"/>
          </w:rPr>
          <w:t>5</w:t>
        </w:r>
        <w:r>
          <w:rPr>
            <w:rFonts w:ascii="Times New Roman" w:eastAsia="SimSun" w:hAnsi="Times New Roman" w:cs="Times New Roman"/>
            <w:b w:val="0"/>
            <w:sz w:val="24"/>
            <w:szCs w:val="24"/>
            <w:lang w:val="en-US" w:eastAsia="zh-CN"/>
          </w:rPr>
          <w:tab/>
        </w:r>
        <w:r w:rsidRPr="006301ED">
          <w:rPr>
            <w:rStyle w:val="Hyperlink"/>
          </w:rPr>
          <w:t>Examples</w:t>
        </w:r>
        <w:r>
          <w:tab/>
        </w:r>
        <w:r>
          <w:fldChar w:fldCharType="begin"/>
        </w:r>
        <w:r>
          <w:instrText xml:space="preserve"> PAGEREF _Toc211150904 \h </w:instrText>
        </w:r>
        <w:r>
          <w:fldChar w:fldCharType="separate"/>
        </w:r>
        <w:r>
          <w:t>6</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905" w:history="1">
        <w:r w:rsidRPr="006301ED">
          <w:rPr>
            <w:rStyle w:val="Hyperlink"/>
          </w:rPr>
          <w:t>5.1</w:t>
        </w:r>
        <w:r>
          <w:rPr>
            <w:rFonts w:ascii="Times New Roman" w:eastAsia="SimSun" w:hAnsi="Times New Roman" w:cs="Times New Roman"/>
            <w:sz w:val="24"/>
            <w:szCs w:val="24"/>
            <w:lang w:val="en-US" w:eastAsia="zh-CN"/>
          </w:rPr>
          <w:tab/>
        </w:r>
        <w:r w:rsidRPr="006301ED">
          <w:rPr>
            <w:rStyle w:val="Hyperlink"/>
          </w:rPr>
          <w:t>Configuration file</w:t>
        </w:r>
        <w:r>
          <w:tab/>
        </w:r>
        <w:r>
          <w:fldChar w:fldCharType="begin"/>
        </w:r>
        <w:r>
          <w:instrText xml:space="preserve"> PAGEREF _Toc211150905 \h </w:instrText>
        </w:r>
        <w:r>
          <w:fldChar w:fldCharType="separate"/>
        </w:r>
        <w:r>
          <w:t>6</w:t>
        </w:r>
        <w:r>
          <w:fldChar w:fldCharType="end"/>
        </w:r>
      </w:hyperlink>
    </w:p>
    <w:p w:rsidR="00B55F0B" w:rsidRDefault="00B55F0B">
      <w:pPr>
        <w:pStyle w:val="TOC2"/>
        <w:tabs>
          <w:tab w:val="left" w:pos="3969"/>
        </w:tabs>
        <w:rPr>
          <w:rFonts w:ascii="Times New Roman" w:eastAsia="SimSun" w:hAnsi="Times New Roman" w:cs="Times New Roman"/>
          <w:sz w:val="24"/>
          <w:szCs w:val="24"/>
          <w:lang w:val="en-US" w:eastAsia="zh-CN"/>
        </w:rPr>
      </w:pPr>
      <w:hyperlink w:anchor="_Toc211150906" w:history="1">
        <w:r w:rsidRPr="006301ED">
          <w:rPr>
            <w:rStyle w:val="Hyperlink"/>
          </w:rPr>
          <w:t>5.2</w:t>
        </w:r>
        <w:r>
          <w:rPr>
            <w:rFonts w:ascii="Times New Roman" w:eastAsia="SimSun" w:hAnsi="Times New Roman" w:cs="Times New Roman"/>
            <w:sz w:val="24"/>
            <w:szCs w:val="24"/>
            <w:lang w:val="en-US" w:eastAsia="zh-CN"/>
          </w:rPr>
          <w:tab/>
        </w:r>
        <w:r w:rsidRPr="006301ED">
          <w:rPr>
            <w:rStyle w:val="Hyperlink"/>
          </w:rPr>
          <w:t>Demo Module</w:t>
        </w:r>
        <w:r>
          <w:tab/>
        </w:r>
        <w:r>
          <w:fldChar w:fldCharType="begin"/>
        </w:r>
        <w:r>
          <w:instrText xml:space="preserve"> PAGEREF _Toc211150906 \h </w:instrText>
        </w:r>
        <w:r>
          <w:fldChar w:fldCharType="separate"/>
        </w:r>
        <w:r>
          <w:t>6</w:t>
        </w:r>
        <w:r>
          <w:fldChar w:fldCharType="end"/>
        </w:r>
      </w:hyperlink>
    </w:p>
    <w:p w:rsidR="00B55F0B" w:rsidRDefault="00B55F0B">
      <w:pPr>
        <w:pStyle w:val="TOC3"/>
        <w:tabs>
          <w:tab w:val="left" w:pos="3969"/>
        </w:tabs>
        <w:rPr>
          <w:rFonts w:ascii="Times New Roman" w:eastAsia="SimSun" w:hAnsi="Times New Roman" w:cs="Times New Roman"/>
          <w:sz w:val="24"/>
          <w:szCs w:val="24"/>
          <w:lang w:val="en-US" w:eastAsia="zh-CN"/>
        </w:rPr>
      </w:pPr>
      <w:hyperlink w:anchor="_Toc211150907" w:history="1">
        <w:r w:rsidRPr="006301ED">
          <w:rPr>
            <w:rStyle w:val="Hyperlink"/>
          </w:rPr>
          <w:t>5.2.1</w:t>
        </w:r>
        <w:r>
          <w:rPr>
            <w:rFonts w:ascii="Times New Roman" w:eastAsia="SimSun" w:hAnsi="Times New Roman" w:cs="Times New Roman"/>
            <w:sz w:val="24"/>
            <w:szCs w:val="24"/>
            <w:lang w:val="en-US" w:eastAsia="zh-CN"/>
          </w:rPr>
          <w:tab/>
        </w:r>
        <w:r w:rsidRPr="006301ED">
          <w:rPr>
            <w:rStyle w:val="Hyperlink"/>
          </w:rPr>
          <w:t>Detailed description</w:t>
        </w:r>
        <w:r>
          <w:tab/>
        </w:r>
        <w:r>
          <w:fldChar w:fldCharType="begin"/>
        </w:r>
        <w:r>
          <w:instrText xml:space="preserve"> PAGEREF _Toc211150907 \h </w:instrText>
        </w:r>
        <w:r>
          <w:fldChar w:fldCharType="separate"/>
        </w:r>
        <w:r>
          <w:t>6</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211150887"/>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211150888"/>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588"/>
        <w:gridCol w:w="1656"/>
      </w:tblGrid>
      <w:tr w:rsidR="009E3A67" w:rsidTr="008B48C5">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588" w:type="dxa"/>
            <w:shd w:val="clear" w:color="auto" w:fill="B3B3B3"/>
          </w:tcPr>
          <w:p w:rsidR="009E3A67" w:rsidRDefault="009E3A67">
            <w:pPr>
              <w:jc w:val="center"/>
              <w:rPr>
                <w:snapToGrid w:val="0"/>
              </w:rPr>
            </w:pPr>
            <w:r>
              <w:rPr>
                <w:snapToGrid w:val="0"/>
              </w:rPr>
              <w:t>Characteristics</w:t>
            </w:r>
          </w:p>
        </w:tc>
        <w:tc>
          <w:tcPr>
            <w:tcW w:w="1656" w:type="dxa"/>
            <w:shd w:val="clear" w:color="auto" w:fill="B3B3B3"/>
          </w:tcPr>
          <w:p w:rsidR="009E3A67" w:rsidRDefault="009E3A67">
            <w:pPr>
              <w:jc w:val="center"/>
              <w:rPr>
                <w:snapToGrid w:val="0"/>
              </w:rPr>
            </w:pPr>
            <w:r>
              <w:rPr>
                <w:snapToGrid w:val="0"/>
              </w:rPr>
              <w:t>Prepared</w:t>
            </w:r>
          </w:p>
        </w:tc>
      </w:tr>
      <w:tr w:rsidR="009E3A67" w:rsidTr="008B48C5">
        <w:tblPrEx>
          <w:tblCellMar>
            <w:top w:w="0" w:type="dxa"/>
            <w:bottom w:w="0" w:type="dxa"/>
          </w:tblCellMar>
        </w:tblPrEx>
        <w:tc>
          <w:tcPr>
            <w:tcW w:w="1417" w:type="dxa"/>
          </w:tcPr>
          <w:p w:rsidR="009E3A67" w:rsidRPr="008B48C5" w:rsidRDefault="008B48C5">
            <w:pPr>
              <w:pStyle w:val="Header"/>
              <w:tabs>
                <w:tab w:val="clear" w:pos="4320"/>
                <w:tab w:val="clear" w:pos="8640"/>
              </w:tabs>
              <w:rPr>
                <w:noProof w:val="0"/>
                <w:snapToGrid w:val="0"/>
              </w:rPr>
            </w:pPr>
            <w:r w:rsidRPr="008B48C5">
              <w:rPr>
                <w:noProof w:val="0"/>
                <w:snapToGrid w:val="0"/>
              </w:rPr>
              <w:t>2007-</w:t>
            </w:r>
            <w:r w:rsidR="00286AAD">
              <w:rPr>
                <w:noProof w:val="0"/>
                <w:snapToGrid w:val="0"/>
              </w:rPr>
              <w:t>12-0</w:t>
            </w:r>
            <w:r w:rsidR="007C6A72">
              <w:rPr>
                <w:noProof w:val="0"/>
                <w:snapToGrid w:val="0"/>
              </w:rPr>
              <w:t>5</w:t>
            </w:r>
          </w:p>
        </w:tc>
        <w:tc>
          <w:tcPr>
            <w:tcW w:w="993" w:type="dxa"/>
          </w:tcPr>
          <w:p w:rsidR="009E3A67" w:rsidRPr="008B48C5" w:rsidRDefault="009E3A67">
            <w:pPr>
              <w:rPr>
                <w:snapToGrid w:val="0"/>
              </w:rPr>
            </w:pPr>
            <w:r w:rsidRPr="008B48C5">
              <w:rPr>
                <w:snapToGrid w:val="0"/>
              </w:rPr>
              <w:t>PA1</w:t>
            </w:r>
          </w:p>
        </w:tc>
        <w:tc>
          <w:tcPr>
            <w:tcW w:w="3588" w:type="dxa"/>
          </w:tcPr>
          <w:p w:rsidR="009E3A67" w:rsidRPr="008B48C5" w:rsidRDefault="009E3A67">
            <w:pPr>
              <w:rPr>
                <w:snapToGrid w:val="0"/>
              </w:rPr>
            </w:pPr>
            <w:r w:rsidRPr="008B48C5">
              <w:rPr>
                <w:snapToGrid w:val="0"/>
              </w:rPr>
              <w:t>First draft version</w:t>
            </w:r>
          </w:p>
        </w:tc>
        <w:tc>
          <w:tcPr>
            <w:tcW w:w="1656" w:type="dxa"/>
          </w:tcPr>
          <w:p w:rsidR="009E3A67" w:rsidRPr="008B48C5" w:rsidRDefault="009E3A67">
            <w:pPr>
              <w:pStyle w:val="Header"/>
              <w:tabs>
                <w:tab w:val="clear" w:pos="4320"/>
                <w:tab w:val="clear" w:pos="8640"/>
              </w:tabs>
              <w:rPr>
                <w:noProof w:val="0"/>
                <w:snapToGrid w:val="0"/>
              </w:rPr>
            </w:pPr>
            <w:r w:rsidRPr="008B48C5">
              <w:rPr>
                <w:noProof w:val="0"/>
                <w:snapToGrid w:val="0"/>
              </w:rPr>
              <w:t>&lt;</w:t>
            </w:r>
            <w:r w:rsidR="008B48C5" w:rsidRPr="008B48C5">
              <w:rPr>
                <w:noProof w:val="0"/>
                <w:snapToGrid w:val="0"/>
              </w:rPr>
              <w:t>E</w:t>
            </w:r>
            <w:r w:rsidR="004C20AF">
              <w:rPr>
                <w:noProof w:val="0"/>
                <w:snapToGrid w:val="0"/>
              </w:rPr>
              <w:t>THJGI</w:t>
            </w:r>
            <w:r w:rsidRPr="008B48C5">
              <w:rPr>
                <w:noProof w:val="0"/>
                <w:snapToGrid w:val="0"/>
              </w:rPr>
              <w:t>&gt;</w:t>
            </w:r>
          </w:p>
        </w:tc>
      </w:tr>
      <w:tr w:rsidR="009E3A67" w:rsidTr="008B48C5">
        <w:tblPrEx>
          <w:tblCellMar>
            <w:top w:w="0" w:type="dxa"/>
            <w:bottom w:w="0" w:type="dxa"/>
          </w:tblCellMar>
        </w:tblPrEx>
        <w:tc>
          <w:tcPr>
            <w:tcW w:w="1417" w:type="dxa"/>
          </w:tcPr>
          <w:p w:rsidR="009E3A67" w:rsidRDefault="00F51817">
            <w:pPr>
              <w:rPr>
                <w:snapToGrid w:val="0"/>
              </w:rPr>
            </w:pPr>
            <w:r>
              <w:rPr>
                <w:snapToGrid w:val="0"/>
              </w:rPr>
              <w:t>2007-12-06</w:t>
            </w:r>
          </w:p>
        </w:tc>
        <w:tc>
          <w:tcPr>
            <w:tcW w:w="993" w:type="dxa"/>
          </w:tcPr>
          <w:p w:rsidR="009E3A67" w:rsidRDefault="00F51817">
            <w:pPr>
              <w:rPr>
                <w:snapToGrid w:val="0"/>
              </w:rPr>
            </w:pPr>
            <w:r>
              <w:rPr>
                <w:snapToGrid w:val="0"/>
              </w:rPr>
              <w:t>PA2</w:t>
            </w:r>
          </w:p>
        </w:tc>
        <w:tc>
          <w:tcPr>
            <w:tcW w:w="3588" w:type="dxa"/>
          </w:tcPr>
          <w:p w:rsidR="009E3A67" w:rsidRDefault="00F51817">
            <w:pPr>
              <w:rPr>
                <w:snapToGrid w:val="0"/>
              </w:rPr>
            </w:pPr>
            <w:r>
              <w:rPr>
                <w:snapToGrid w:val="0"/>
              </w:rPr>
              <w:t>Updated after review</w:t>
            </w:r>
          </w:p>
        </w:tc>
        <w:tc>
          <w:tcPr>
            <w:tcW w:w="1656" w:type="dxa"/>
          </w:tcPr>
          <w:p w:rsidR="009E3A67" w:rsidRDefault="00F51817">
            <w:pPr>
              <w:rPr>
                <w:snapToGrid w:val="0"/>
              </w:rPr>
            </w:pPr>
            <w:r>
              <w:rPr>
                <w:snapToGrid w:val="0"/>
              </w:rPr>
              <w:t>&lt;ETHJGI&gt;</w:t>
            </w:r>
          </w:p>
        </w:tc>
      </w:tr>
      <w:tr w:rsidR="009E3A67" w:rsidTr="008B48C5">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588" w:type="dxa"/>
          </w:tcPr>
          <w:p w:rsidR="009E3A67" w:rsidRDefault="009E3A67">
            <w:pPr>
              <w:rPr>
                <w:snapToGrid w:val="0"/>
              </w:rPr>
            </w:pPr>
          </w:p>
        </w:tc>
        <w:tc>
          <w:tcPr>
            <w:tcW w:w="1656" w:type="dxa"/>
          </w:tcPr>
          <w:p w:rsidR="009E3A67" w:rsidRDefault="009E3A67">
            <w:pPr>
              <w:rPr>
                <w:snapToGrid w:val="0"/>
              </w:rPr>
            </w:pPr>
          </w:p>
        </w:tc>
      </w:tr>
      <w:tr w:rsidR="009E3A67" w:rsidTr="008B48C5">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588" w:type="dxa"/>
          </w:tcPr>
          <w:p w:rsidR="009E3A67" w:rsidRDefault="009E3A67">
            <w:pPr>
              <w:rPr>
                <w:snapToGrid w:val="0"/>
              </w:rPr>
            </w:pPr>
          </w:p>
        </w:tc>
        <w:tc>
          <w:tcPr>
            <w:tcW w:w="1656" w:type="dxa"/>
          </w:tcPr>
          <w:p w:rsidR="009E3A67" w:rsidRDefault="009E3A67">
            <w:pPr>
              <w:rPr>
                <w:snapToGrid w:val="0"/>
              </w:rPr>
            </w:pPr>
          </w:p>
        </w:tc>
      </w:tr>
    </w:tbl>
    <w:p w:rsidR="009E3A67" w:rsidRDefault="009E3A67">
      <w:pPr>
        <w:pStyle w:val="Heading2"/>
        <w:rPr>
          <w:snapToGrid w:val="0"/>
        </w:rPr>
      </w:pPr>
      <w:bookmarkStart w:id="17" w:name="_Toc182727534"/>
      <w:bookmarkStart w:id="18" w:name="_Toc211150889"/>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211150890"/>
      <w:r>
        <w:t>How to Read this Document</w:t>
      </w:r>
      <w:bookmarkEnd w:id="19"/>
      <w:bookmarkEnd w:id="20"/>
    </w:p>
    <w:p w:rsidR="00A20EAB" w:rsidRDefault="005A33D4" w:rsidP="007C6A72">
      <w:pPr>
        <w:pStyle w:val="BodyText"/>
      </w:pPr>
      <w:r>
        <w:t xml:space="preserve">This is the </w:t>
      </w:r>
      <w:r w:rsidR="005B1E03">
        <w:t>User Guide</w:t>
      </w:r>
      <w:r>
        <w:t xml:space="preserve"> for the </w:t>
      </w:r>
      <w:r w:rsidR="007C6A72">
        <w:t>Semaphore</w:t>
      </w:r>
      <w:r w:rsidR="008B48C5">
        <w:rPr>
          <w:color w:val="0000FF"/>
        </w:rPr>
        <w:t xml:space="preserve"> </w:t>
      </w:r>
      <w:r>
        <w:t>of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B55F0B">
        <w:rPr>
          <w:cs/>
        </w:rPr>
        <w:t>‎</w:t>
      </w:r>
      <w:r w:rsidR="00B55F0B">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B55F0B">
        <w:rPr>
          <w:cs/>
        </w:rPr>
        <w:t>‎</w:t>
      </w:r>
      <w:r w:rsidR="00B55F0B">
        <w:t>[2]</w:t>
      </w:r>
      <w:r w:rsidR="005B1E03">
        <w:fldChar w:fldCharType="end"/>
      </w:r>
      <w:r w:rsidRPr="0074533E">
        <w:t>.</w:t>
      </w:r>
      <w:r>
        <w:t xml:space="preserve"> This document should be read together with the Function Description of the </w:t>
      </w:r>
      <w:r w:rsidR="007C6A72">
        <w:t>Semaphore</w:t>
      </w:r>
      <w:r w:rsidR="008B48C5">
        <w:rPr>
          <w:color w:val="0000FF"/>
        </w:rPr>
        <w:t xml:space="preserve"> </w:t>
      </w:r>
      <w:r>
        <w:t>feature</w:t>
      </w:r>
      <w:r w:rsidR="005B1E03">
        <w:t xml:space="preserve"> </w:t>
      </w:r>
      <w:r w:rsidR="005B1E03">
        <w:fldChar w:fldCharType="begin"/>
      </w:r>
      <w:r w:rsidR="005B1E03">
        <w:instrText xml:space="preserve"> REF _Ref182891563 \r \h </w:instrText>
      </w:r>
      <w:r w:rsidR="005B1E03">
        <w:fldChar w:fldCharType="separate"/>
      </w:r>
      <w:r w:rsidR="00B55F0B">
        <w:rPr>
          <w:cs/>
        </w:rPr>
        <w:t>‎</w:t>
      </w:r>
      <w:r w:rsidR="00B55F0B">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B55F0B">
        <w:rPr>
          <w:cs/>
        </w:rPr>
        <w:t>‎</w:t>
      </w:r>
      <w:r w:rsidR="00B55F0B">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B55F0B">
        <w:rPr>
          <w:cs/>
        </w:rPr>
        <w:t>‎</w:t>
      </w:r>
      <w:r w:rsidR="00B55F0B">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B55F0B">
        <w:rPr>
          <w:cs/>
        </w:rPr>
        <w:t>‎</w:t>
      </w:r>
      <w:r w:rsidR="00B55F0B">
        <w:t>[5]</w:t>
      </w:r>
      <w:r w:rsidR="005B1E03">
        <w:fldChar w:fldCharType="end"/>
      </w:r>
      <w:r w:rsidR="005B1E03">
        <w:t xml:space="preserve"> </w:t>
      </w:r>
      <w:r>
        <w:t xml:space="preserve">of the </w:t>
      </w:r>
      <w:r w:rsidR="005B1E03">
        <w:t>TitanSim</w:t>
      </w:r>
      <w:r w:rsidR="00A20EAB">
        <w:t>.</w:t>
      </w:r>
    </w:p>
    <w:p w:rsidR="009E3A67" w:rsidRPr="00754136" w:rsidRDefault="009E3A67" w:rsidP="005951D9">
      <w:pPr>
        <w:pStyle w:val="BodyText"/>
      </w:pPr>
    </w:p>
    <w:p w:rsidR="009E3A67" w:rsidRDefault="009E3A67">
      <w:pPr>
        <w:pStyle w:val="Heading3"/>
      </w:pPr>
      <w:bookmarkStart w:id="21" w:name="_Toc182727536"/>
      <w:bookmarkStart w:id="22" w:name="_Toc211150891"/>
      <w:r>
        <w:t>References</w:t>
      </w:r>
      <w:bookmarkEnd w:id="21"/>
      <w:bookmarkEnd w:id="22"/>
    </w:p>
    <w:p w:rsidR="005B1E03" w:rsidRDefault="005B1E03" w:rsidP="005B1E03">
      <w:pPr>
        <w:pStyle w:val="List"/>
      </w:pPr>
      <w:bookmarkStart w:id="23" w:name="_Ref55708574"/>
      <w:bookmarkStart w:id="24" w:name="_Ref45513518"/>
      <w:r>
        <w:t>ETSI ES 201 873-1 v3.2.1 (2007-02)</w:t>
      </w:r>
      <w:r>
        <w:br/>
        <w:t>The Testing and Test Control Notation version 3. Part 1: Core Language</w:t>
      </w:r>
      <w:bookmarkEnd w:id="24"/>
    </w:p>
    <w:p w:rsidR="005B1E03" w:rsidRDefault="005B1E03" w:rsidP="005B1E03">
      <w:pPr>
        <w:pStyle w:val="List"/>
      </w:pPr>
      <w:bookmarkStart w:id="25" w:name="_Ref182888820"/>
      <w:r w:rsidRPr="00833D66">
        <w:rPr>
          <w:rFonts w:ascii="CMR10" w:eastAsia="SimSun" w:hAnsi="CMR10" w:cs="CMR10"/>
          <w:szCs w:val="22"/>
          <w:lang w:eastAsia="zh-CN"/>
        </w:rPr>
        <w:t>1/198 17-CRL 113 200 Uen</w:t>
      </w:r>
      <w:r>
        <w:br/>
        <w:t>User Guide for the TITAN TTCN-3 Test Executor</w:t>
      </w:r>
      <w:bookmarkEnd w:id="25"/>
    </w:p>
    <w:p w:rsidR="005B1E03" w:rsidRDefault="005B1E03" w:rsidP="005B1E03">
      <w:pPr>
        <w:pStyle w:val="List"/>
      </w:pPr>
      <w:bookmarkStart w:id="26" w:name="_Ref182888887"/>
      <w:bookmarkEnd w:id="23"/>
      <w:r w:rsidRPr="0065566C">
        <w:rPr>
          <w:rFonts w:cs="Arial"/>
          <w:szCs w:val="22"/>
        </w:rPr>
        <w:t xml:space="preserve">109 21-CNL 113 512-2 Uen </w:t>
      </w:r>
      <w:r>
        <w:br/>
        <w:t>TitanSim CLL</w:t>
      </w:r>
      <w:r w:rsidRPr="0025637E">
        <w:t xml:space="preserve"> for TTCN-3 toolset with TITAN</w:t>
      </w:r>
      <w:r>
        <w:t>, Product Revision Information</w:t>
      </w:r>
      <w:bookmarkEnd w:id="26"/>
    </w:p>
    <w:p w:rsidR="005B1E03" w:rsidRDefault="005B1E03" w:rsidP="005B1E03">
      <w:pPr>
        <w:pStyle w:val="List"/>
      </w:pPr>
      <w:bookmarkStart w:id="27"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7"/>
    </w:p>
    <w:p w:rsidR="005B1E03" w:rsidRDefault="005B1E03" w:rsidP="005B1E03">
      <w:pPr>
        <w:pStyle w:val="List"/>
      </w:pPr>
      <w:bookmarkStart w:id="28" w:name="_Ref182891647"/>
      <w:r w:rsidRPr="00517745">
        <w:rPr>
          <w:rFonts w:cs="Arial"/>
          <w:szCs w:val="22"/>
        </w:rPr>
        <w:t>198 17-CNL 113 512 Uen</w:t>
      </w:r>
      <w:r>
        <w:br/>
        <w:t xml:space="preserve">TitanSim CLL </w:t>
      </w:r>
      <w:r w:rsidRPr="0025637E">
        <w:t xml:space="preserve"> for TTCN-3 toolset with TITAN</w:t>
      </w:r>
      <w:r>
        <w:t>, User Guide</w:t>
      </w:r>
      <w:bookmarkEnd w:id="28"/>
    </w:p>
    <w:p w:rsidR="005B1E03" w:rsidRDefault="007C6A72" w:rsidP="007C6A72">
      <w:pPr>
        <w:pStyle w:val="List"/>
      </w:pPr>
      <w:bookmarkStart w:id="29" w:name="_Ref182891563"/>
      <w:r>
        <w:t>22</w:t>
      </w:r>
      <w:r w:rsidR="008B48C5">
        <w:t>/</w:t>
      </w:r>
      <w:r w:rsidR="005B1E03" w:rsidRPr="005B1E03">
        <w:t>155 16-CNL 113 512</w:t>
      </w:r>
      <w:r w:rsidR="005B1E03">
        <w:br/>
        <w:t xml:space="preserve">EPTF CLL </w:t>
      </w:r>
      <w:r>
        <w:t>Semaphore</w:t>
      </w:r>
      <w:r w:rsidR="008B48C5">
        <w:rPr>
          <w:color w:val="0000FF"/>
        </w:rPr>
        <w:t xml:space="preserve"> </w:t>
      </w:r>
      <w:r w:rsidR="005B1E03">
        <w:t>Function Description</w:t>
      </w:r>
      <w:bookmarkEnd w:id="29"/>
    </w:p>
    <w:p w:rsidR="005B1E03" w:rsidRDefault="005B1E03" w:rsidP="00595702">
      <w:pPr>
        <w:pStyle w:val="List"/>
      </w:pPr>
      <w:bookmarkStart w:id="30" w:name="_Ref182890383"/>
      <w:r>
        <w:t xml:space="preserve">TitanSim CLL </w:t>
      </w:r>
      <w:r w:rsidRPr="0025637E">
        <w:t xml:space="preserve"> for TTCN-3 toolset with TITAN</w:t>
      </w:r>
      <w:r>
        <w:t>, Reference Guide</w:t>
      </w:r>
      <w:r>
        <w:br/>
      </w:r>
      <w:hyperlink r:id="rId7" w:history="1">
        <w:r w:rsidR="00595702" w:rsidRPr="00CB28E3">
          <w:rPr>
            <w:rStyle w:val="Hyperlink"/>
          </w:rPr>
          <w:t>http://ttcn.ericsson.se/products/libraries.shtml</w:t>
        </w:r>
      </w:hyperlink>
      <w:bookmarkEnd w:id="30"/>
    </w:p>
    <w:p w:rsidR="009E3A67" w:rsidRDefault="009E3A67" w:rsidP="005B1E03">
      <w:pPr>
        <w:pStyle w:val="Heading3"/>
      </w:pPr>
      <w:bookmarkStart w:id="31" w:name="_Toc182727537"/>
      <w:bookmarkStart w:id="32" w:name="_Toc211150892"/>
      <w:r>
        <w:lastRenderedPageBreak/>
        <w:t>Abbreviations</w:t>
      </w:r>
      <w:bookmarkEnd w:id="31"/>
      <w:bookmarkEnd w:id="32"/>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032C27" w:rsidRDefault="004E71CF" w:rsidP="008B48C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B55F0B">
        <w:rPr>
          <w:rFonts w:cs="Arial"/>
          <w:cs/>
        </w:rPr>
        <w:t>‎</w:t>
      </w:r>
      <w:r w:rsidR="00B55F0B">
        <w:rPr>
          <w:rFonts w:cs="Arial"/>
        </w:rPr>
        <w:t>[1]</w:t>
      </w:r>
      <w:r w:rsidR="00B425E5">
        <w:rPr>
          <w:rFonts w:cs="Arial"/>
        </w:rPr>
        <w:fldChar w:fldCharType="end"/>
      </w:r>
    </w:p>
    <w:p w:rsidR="009E3A67" w:rsidRDefault="009E3A67">
      <w:pPr>
        <w:pStyle w:val="Heading3"/>
      </w:pPr>
      <w:bookmarkStart w:id="33" w:name="_Toc182727538"/>
      <w:bookmarkStart w:id="34" w:name="_Toc211150893"/>
      <w:r>
        <w:t>Terminology</w:t>
      </w:r>
      <w:bookmarkEnd w:id="33"/>
      <w:bookmarkEnd w:id="34"/>
    </w:p>
    <w:p w:rsidR="004E71CF" w:rsidRDefault="005B1E03" w:rsidP="0085522F">
      <w:pPr>
        <w:pStyle w:val="Term-list"/>
        <w:jc w:val="both"/>
        <w:rPr>
          <w:rFonts w:eastAsia="SimSun"/>
          <w:lang w:eastAsia="zh-CN"/>
        </w:rPr>
      </w:pPr>
      <w:bookmarkStart w:id="35" w:name="_Toc46547758"/>
      <w:r>
        <w:rPr>
          <w:rFonts w:eastAsia="SimSun"/>
          <w:i/>
          <w:iCs/>
          <w:lang w:eastAsia="zh-CN"/>
        </w:rPr>
        <w:t>TitanSim</w:t>
      </w:r>
      <w:r w:rsidR="004E71CF">
        <w:rPr>
          <w:rFonts w:eastAsia="SimSun"/>
          <w:i/>
          <w:iCs/>
          <w:lang w:eastAsia="zh-CN"/>
        </w:rPr>
        <w:t xml:space="preserve"> Core (</w:t>
      </w:r>
      <w:r w:rsidR="004E71CF" w:rsidRPr="002B0356">
        <w:rPr>
          <w:rFonts w:eastAsia="SimSun"/>
          <w:i/>
          <w:iCs/>
          <w:lang w:eastAsia="zh-CN"/>
        </w:rPr>
        <w:t>Load) Library(CLL)</w:t>
      </w:r>
      <w:r w:rsidR="004E71CF" w:rsidRPr="002B0356">
        <w:rPr>
          <w:rFonts w:eastAsia="SimSun"/>
          <w:i/>
          <w:iCs/>
          <w:lang w:eastAsia="zh-CN"/>
        </w:rPr>
        <w:tab/>
      </w:r>
      <w:r w:rsidR="004E71CF" w:rsidRPr="002B0356">
        <w:rPr>
          <w:rFonts w:eastAsia="SimSun"/>
          <w:lang w:eastAsia="zh-CN"/>
        </w:rPr>
        <w:t xml:space="preserve">is that part of the </w:t>
      </w:r>
      <w:r>
        <w:rPr>
          <w:rFonts w:eastAsia="SimSun"/>
          <w:lang w:eastAsia="zh-CN"/>
        </w:rPr>
        <w:t>TitanSim</w:t>
      </w:r>
      <w:r w:rsidR="004E71CF"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is to be supplied and supported by the TCC organization. Any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development is to be funded centrally by Ericsson</w:t>
      </w:r>
    </w:p>
    <w:p w:rsidR="00213BFD" w:rsidRPr="0085522F" w:rsidRDefault="00213BFD" w:rsidP="0085522F">
      <w:pPr>
        <w:pStyle w:val="Term-list"/>
        <w:jc w:val="both"/>
        <w:rPr>
          <w:rFonts w:eastAsia="SimSun"/>
          <w:lang w:eastAsia="zh-CN"/>
        </w:rPr>
      </w:pPr>
      <w:r>
        <w:rPr>
          <w:rFonts w:eastAsia="SimSun"/>
          <w:i/>
          <w:iCs/>
          <w:lang w:eastAsia="zh-CN"/>
        </w:rPr>
        <w:t>Semaphore</w:t>
      </w:r>
      <w:r>
        <w:rPr>
          <w:rFonts w:eastAsia="SimSun"/>
          <w:i/>
          <w:iCs/>
          <w:lang w:eastAsia="zh-CN"/>
        </w:rPr>
        <w:tab/>
      </w:r>
      <w:r>
        <w:rPr>
          <w:rFonts w:eastAsia="SimSun"/>
          <w:lang w:eastAsia="zh-CN"/>
        </w:rPr>
        <w:t>The TTCN-3 way to solve blocking scenarios and perform synchronization</w:t>
      </w:r>
    </w:p>
    <w:p w:rsidR="009E3A67" w:rsidRDefault="009E3A67">
      <w:pPr>
        <w:pStyle w:val="Heading2"/>
      </w:pPr>
      <w:bookmarkStart w:id="36" w:name="_Toc182727539"/>
      <w:bookmarkStart w:id="37" w:name="_Toc211150894"/>
      <w:r>
        <w:t>System Requirements</w:t>
      </w:r>
      <w:bookmarkEnd w:id="35"/>
      <w:bookmarkEnd w:id="36"/>
      <w:bookmarkEnd w:id="37"/>
    </w:p>
    <w:p w:rsidR="00595702" w:rsidRPr="00463BD3" w:rsidRDefault="00755F7E" w:rsidP="008F4D54">
      <w:pPr>
        <w:pStyle w:val="BodyText"/>
      </w:pPr>
      <w:r>
        <w:t xml:space="preserve">In order to use the </w:t>
      </w:r>
      <w:r w:rsidR="008F4D54">
        <w:t>Semaphore</w:t>
      </w:r>
      <w:r w:rsidR="008B48C5" w:rsidRPr="008B48C5">
        <w:t xml:space="preserve"> </w:t>
      </w:r>
      <w:r w:rsidR="00F85875">
        <w:t>feature</w:t>
      </w:r>
      <w:r>
        <w:t xml:space="preserve"> the</w:t>
      </w:r>
      <w:r w:rsidR="009E3A67">
        <w:t xml:space="preserve"> system requirements </w:t>
      </w:r>
      <w:r w:rsidR="00152D37">
        <w:t xml:space="preserve">listed in TitanSim CLL User Guide </w:t>
      </w:r>
      <w:r w:rsidR="00152D37">
        <w:fldChar w:fldCharType="begin"/>
      </w:r>
      <w:r w:rsidR="00152D37">
        <w:instrText xml:space="preserve"> REF _Ref182891647 \r \h </w:instrText>
      </w:r>
      <w:r w:rsidR="00152D37">
        <w:fldChar w:fldCharType="separate"/>
      </w:r>
      <w:r w:rsidR="00B55F0B">
        <w:rPr>
          <w:cs/>
        </w:rPr>
        <w:t>‎</w:t>
      </w:r>
      <w:r w:rsidR="00B55F0B">
        <w:t>[5]</w:t>
      </w:r>
      <w:r w:rsidR="00152D37">
        <w:fldChar w:fldCharType="end"/>
      </w:r>
      <w:r w:rsidR="00152D37">
        <w:t xml:space="preserve"> should be fulfilled.</w:t>
      </w:r>
    </w:p>
    <w:p w:rsidR="00B629EE" w:rsidRPr="008B48C5" w:rsidRDefault="002F1382" w:rsidP="00B629EE">
      <w:pPr>
        <w:pStyle w:val="Heading1"/>
      </w:pPr>
      <w:bookmarkStart w:id="38" w:name="_Toc211150895"/>
      <w:r>
        <w:t>Semaphore</w:t>
      </w:r>
      <w:bookmarkEnd w:id="38"/>
    </w:p>
    <w:p w:rsidR="009E3A67" w:rsidRDefault="009E3A67" w:rsidP="00B629EE">
      <w:pPr>
        <w:pStyle w:val="Heading2"/>
      </w:pPr>
      <w:bookmarkStart w:id="39" w:name="_Toc182727541"/>
      <w:bookmarkStart w:id="40" w:name="_Toc211150896"/>
      <w:r>
        <w:t>Overview</w:t>
      </w:r>
      <w:bookmarkEnd w:id="39"/>
      <w:bookmarkEnd w:id="40"/>
    </w:p>
    <w:p w:rsidR="00BF22AE" w:rsidRDefault="00B144EE" w:rsidP="00BB5DF5">
      <w:pPr>
        <w:pStyle w:val="BodyText"/>
        <w:jc w:val="both"/>
      </w:pPr>
      <w:bookmarkStart w:id="41" w:name="_Toc46547766"/>
      <w:bookmarkStart w:id="42" w:name="_Toc175455185"/>
      <w:bookmarkStart w:id="43" w:name="_Ref182711344"/>
      <w:bookmarkStart w:id="44" w:name="_Ref182711382"/>
      <w:bookmarkStart w:id="45" w:name="_Toc182727542"/>
      <w:r>
        <w:t xml:space="preserve">The EPTF CLL </w:t>
      </w:r>
      <w:r w:rsidR="00BB5DF5">
        <w:t>Semaphore</w:t>
      </w:r>
      <w:r w:rsidR="008B48C5">
        <w:rPr>
          <w:color w:val="0000FF"/>
        </w:rPr>
        <w:t xml:space="preserve"> </w:t>
      </w:r>
      <w:r>
        <w:t xml:space="preserve">component is a fundamental component providing an implementation for </w:t>
      </w:r>
      <w:r w:rsidR="00BB5DF5">
        <w:t>Semaphore</w:t>
      </w:r>
      <w:r w:rsidR="00C76D5A">
        <w:t xml:space="preserve"> in a load test environment.</w:t>
      </w:r>
    </w:p>
    <w:p w:rsidR="00173D25" w:rsidRDefault="00956385" w:rsidP="00F85875">
      <w:pPr>
        <w:pStyle w:val="Heading2"/>
      </w:pPr>
      <w:bookmarkStart w:id="46" w:name="_Ref184110824"/>
      <w:bookmarkStart w:id="47" w:name="_Toc211150897"/>
      <w:r>
        <w:t xml:space="preserve">Description of files in this </w:t>
      </w:r>
      <w:bookmarkStart w:id="48" w:name="_Toc175455186"/>
      <w:bookmarkEnd w:id="42"/>
      <w:r w:rsidR="00F85875">
        <w:t>feature</w:t>
      </w:r>
      <w:bookmarkEnd w:id="43"/>
      <w:bookmarkEnd w:id="44"/>
      <w:bookmarkEnd w:id="45"/>
      <w:bookmarkEnd w:id="46"/>
      <w:bookmarkEnd w:id="47"/>
    </w:p>
    <w:p w:rsidR="00173D25" w:rsidRDefault="00173D25" w:rsidP="00BB5DF5">
      <w:pPr>
        <w:pStyle w:val="BodyText"/>
        <w:jc w:val="both"/>
      </w:pPr>
      <w:r>
        <w:t xml:space="preserve">The EPTF CLL </w:t>
      </w:r>
      <w:r w:rsidR="00BB5DF5">
        <w:t>Semaphore</w:t>
      </w:r>
      <w:r w:rsidR="008B48C5">
        <w:rPr>
          <w:color w:val="0000FF"/>
        </w:rPr>
        <w:t xml:space="preserve"> </w:t>
      </w:r>
      <w:r>
        <w:t>API includes the following files:</w:t>
      </w:r>
    </w:p>
    <w:p w:rsidR="00720EF4" w:rsidRPr="00D704DC" w:rsidRDefault="00BB5DF5" w:rsidP="00F234E8">
      <w:pPr>
        <w:pStyle w:val="BodyText"/>
        <w:numPr>
          <w:ilvl w:val="0"/>
          <w:numId w:val="23"/>
        </w:numPr>
        <w:jc w:val="both"/>
      </w:pPr>
      <w:r>
        <w:t>Semaphore</w:t>
      </w:r>
    </w:p>
    <w:p w:rsidR="00173D25" w:rsidRPr="00D704DC" w:rsidRDefault="00993702" w:rsidP="00CC2F6B">
      <w:pPr>
        <w:pStyle w:val="BodyText"/>
        <w:numPr>
          <w:ilvl w:val="1"/>
          <w:numId w:val="23"/>
        </w:numPr>
        <w:jc w:val="both"/>
      </w:pPr>
      <w:r w:rsidRPr="00D704DC">
        <w:t>EPTF_CLL_</w:t>
      </w:r>
      <w:r w:rsidR="00BB5DF5">
        <w:t>Semaphore</w:t>
      </w:r>
      <w:r w:rsidR="009531B2">
        <w:t>_Definitions.ttcn</w:t>
      </w:r>
      <w:r w:rsidR="00173D25" w:rsidRPr="00D704DC">
        <w:t xml:space="preserve">: </w:t>
      </w:r>
      <w:r w:rsidR="00002E64" w:rsidRPr="00D704DC">
        <w:t>This TTCN-3 module c</w:t>
      </w:r>
      <w:r w:rsidR="00173D25" w:rsidRPr="00D704DC">
        <w:t xml:space="preserve">ontains </w:t>
      </w:r>
      <w:r w:rsidRPr="00D704DC">
        <w:t xml:space="preserve">common type definitions that should be used in all </w:t>
      </w:r>
      <w:r w:rsidR="00CC2F6B">
        <w:t>Semaphore</w:t>
      </w:r>
      <w:r w:rsidRPr="00D704DC">
        <w:t xml:space="preserve"> Components</w:t>
      </w:r>
      <w:r w:rsidR="00173D25" w:rsidRPr="00D704DC">
        <w:t>.</w:t>
      </w:r>
    </w:p>
    <w:p w:rsidR="00173D25" w:rsidRDefault="006E7CC5" w:rsidP="00CC2F6B">
      <w:pPr>
        <w:pStyle w:val="BodyText"/>
        <w:numPr>
          <w:ilvl w:val="1"/>
          <w:numId w:val="23"/>
        </w:numPr>
        <w:jc w:val="both"/>
      </w:pPr>
      <w:r>
        <w:t>EPTF_CLL_</w:t>
      </w:r>
      <w:r w:rsidR="00BB5DF5">
        <w:t>Semaphore</w:t>
      </w:r>
      <w:r w:rsidR="009531B2">
        <w:t>_Functions.ttcn</w:t>
      </w:r>
      <w:r w:rsidR="00173D25" w:rsidRPr="00D704DC">
        <w:t xml:space="preserve">: This TTCN-3 module </w:t>
      </w:r>
      <w:r w:rsidR="00993702" w:rsidRPr="00D704DC">
        <w:t xml:space="preserve">contains the implementation of </w:t>
      </w:r>
      <w:r w:rsidR="00CC2F6B">
        <w:t>Semaphore</w:t>
      </w:r>
      <w:r w:rsidR="004C0380" w:rsidRPr="00D704DC">
        <w:t xml:space="preserve"> </w:t>
      </w:r>
      <w:r w:rsidR="004C0380">
        <w:t xml:space="preserve">main </w:t>
      </w:r>
      <w:r w:rsidR="00993702" w:rsidRPr="00D704DC">
        <w:t>functions</w:t>
      </w:r>
      <w:r w:rsidR="00173D25" w:rsidRPr="00D704DC">
        <w:t>.</w:t>
      </w:r>
    </w:p>
    <w:p w:rsidR="00956385" w:rsidRDefault="00956385" w:rsidP="00F85875">
      <w:pPr>
        <w:pStyle w:val="Heading2"/>
      </w:pPr>
      <w:bookmarkStart w:id="49" w:name="_Ref182711337"/>
      <w:bookmarkStart w:id="50" w:name="_Toc182727543"/>
      <w:bookmarkStart w:id="51" w:name="_Toc211150898"/>
      <w:r>
        <w:lastRenderedPageBreak/>
        <w:t xml:space="preserve">Description of required files from other </w:t>
      </w:r>
      <w:r w:rsidR="00F85875">
        <w:t>feature</w:t>
      </w:r>
      <w:r>
        <w:t>s</w:t>
      </w:r>
      <w:bookmarkEnd w:id="48"/>
      <w:bookmarkEnd w:id="49"/>
      <w:bookmarkEnd w:id="50"/>
      <w:bookmarkEnd w:id="51"/>
    </w:p>
    <w:p w:rsidR="00173D25" w:rsidRPr="0044393F" w:rsidRDefault="00521012" w:rsidP="006D34E9">
      <w:pPr>
        <w:pStyle w:val="BodyText"/>
        <w:jc w:val="both"/>
      </w:pPr>
      <w:r>
        <w:t xml:space="preserve">The </w:t>
      </w:r>
      <w:r w:rsidR="006D34E9">
        <w:t>Semaphore</w:t>
      </w:r>
      <w:r w:rsidR="008B48C5" w:rsidRPr="0044393F">
        <w:t xml:space="preserve"> </w:t>
      </w:r>
      <w:r w:rsidRPr="0044393F">
        <w:t xml:space="preserve">feature is part of the </w:t>
      </w:r>
      <w:r w:rsidR="005B1E03" w:rsidRPr="0044393F">
        <w:t>TitanSim</w:t>
      </w:r>
      <w:r w:rsidRPr="0044393F">
        <w:t xml:space="preserve"> EPTF Core Load Library (CLL). It </w:t>
      </w:r>
      <w:r w:rsidR="00173D25" w:rsidRPr="0044393F">
        <w:t xml:space="preserve">relies on </w:t>
      </w:r>
      <w:r w:rsidRPr="0044393F">
        <w:t>several fea</w:t>
      </w:r>
      <w:r>
        <w:t>tures of the CLL</w:t>
      </w:r>
      <w:r w:rsidR="00EC714A">
        <w:t xml:space="preserve">. </w:t>
      </w:r>
      <w:r w:rsidR="00173D25" w:rsidRPr="0044393F">
        <w:t>The user has to obtain the product</w:t>
      </w:r>
      <w:r w:rsidRPr="0044393F">
        <w:t>s/files to</w:t>
      </w:r>
      <w:r>
        <w:t xml:space="preserve"> </w:t>
      </w:r>
      <w:r w:rsidR="00C13FF8">
        <w:t xml:space="preserve">be found under the respective </w:t>
      </w:r>
      <w:r w:rsidR="0044393F" w:rsidRPr="0044393F">
        <w:t>feature</w:t>
      </w:r>
      <w:r w:rsidR="00C13FF8">
        <w:t xml:space="preserve"> names</w:t>
      </w:r>
      <w:r w:rsidR="0044393F" w:rsidRPr="0044393F">
        <w:t>:</w:t>
      </w:r>
    </w:p>
    <w:p w:rsidR="00915571" w:rsidRDefault="00915571" w:rsidP="00F85875">
      <w:pPr>
        <w:pStyle w:val="BodyText"/>
        <w:numPr>
          <w:ilvl w:val="0"/>
          <w:numId w:val="23"/>
        </w:numPr>
        <w:jc w:val="both"/>
      </w:pPr>
      <w:r w:rsidRPr="0044393F">
        <w:t>Base</w:t>
      </w:r>
    </w:p>
    <w:p w:rsidR="00710425" w:rsidRDefault="00710425" w:rsidP="00F85875">
      <w:pPr>
        <w:pStyle w:val="BodyText"/>
        <w:numPr>
          <w:ilvl w:val="0"/>
          <w:numId w:val="23"/>
        </w:numPr>
        <w:jc w:val="both"/>
      </w:pPr>
      <w:r>
        <w:t>FreeBusyQueue</w:t>
      </w:r>
    </w:p>
    <w:p w:rsidR="00956385" w:rsidRDefault="00956385" w:rsidP="00956385">
      <w:pPr>
        <w:pStyle w:val="Heading2"/>
      </w:pPr>
      <w:bookmarkStart w:id="52" w:name="_Toc175455187"/>
      <w:bookmarkStart w:id="53" w:name="_Toc182727544"/>
      <w:bookmarkStart w:id="54" w:name="_Toc211150899"/>
      <w:r>
        <w:t>Installation</w:t>
      </w:r>
      <w:bookmarkEnd w:id="52"/>
      <w:bookmarkEnd w:id="53"/>
      <w:bookmarkEnd w:id="54"/>
    </w:p>
    <w:p w:rsidR="00FD3495" w:rsidRDefault="00001370" w:rsidP="000768E1">
      <w:pPr>
        <w:pStyle w:val="BodyText"/>
        <w:jc w:val="both"/>
        <w:rPr>
          <w:rFonts w:cs="Arial"/>
        </w:rPr>
      </w:pPr>
      <w:r>
        <w:rPr>
          <w:rFonts w:cs="Arial"/>
        </w:rPr>
        <w:t xml:space="preserve">Since EPTF </w:t>
      </w:r>
      <w:r w:rsidR="00FD3495">
        <w:rPr>
          <w:rFonts w:cs="Arial"/>
        </w:rPr>
        <w:t>CLL</w:t>
      </w:r>
      <w:r>
        <w:rPr>
          <w:rFonts w:cs="Arial"/>
        </w:rPr>
        <w:t xml:space="preserve"> </w:t>
      </w:r>
      <w:r w:rsidR="000768E1">
        <w:t>Semaphore</w:t>
      </w:r>
      <w:r w:rsidR="008B48C5" w:rsidRPr="00001370">
        <w:t xml:space="preserve"> </w:t>
      </w:r>
      <w:r w:rsidR="00FD3495" w:rsidRPr="00001370">
        <w:t>is</w:t>
      </w:r>
      <w:r w:rsidR="00FD3495">
        <w:t xml:space="preserve"> </w:t>
      </w:r>
      <w:r w:rsidR="00FD3495">
        <w:rPr>
          <w:rFonts w:cs="Arial"/>
        </w:rPr>
        <w:t>used as a part of the TTCN-3 test environment this requires TTCN-3 Test Executor to be installed before any operation of these functions. For more details on the installation of TTCN-3 Test Executor see the relevant section of</w:t>
      </w:r>
      <w:r w:rsidR="00595702">
        <w:rPr>
          <w:rFonts w:cs="Arial"/>
        </w:rPr>
        <w:t xml:space="preserve"> </w:t>
      </w:r>
      <w:r w:rsidR="001B52C7">
        <w:rPr>
          <w:rFonts w:cs="Arial"/>
        </w:rPr>
        <w:fldChar w:fldCharType="begin"/>
      </w:r>
      <w:r w:rsidR="001B52C7">
        <w:rPr>
          <w:rFonts w:cs="Arial"/>
        </w:rPr>
        <w:instrText xml:space="preserve"> REF _Ref182888820 \r \h </w:instrText>
      </w:r>
      <w:r w:rsidR="003073FA" w:rsidRPr="001B52C7">
        <w:rPr>
          <w:rFonts w:cs="Arial"/>
        </w:rPr>
      </w:r>
      <w:r w:rsidR="00C76D5A">
        <w:rPr>
          <w:rFonts w:cs="Arial"/>
        </w:rPr>
        <w:instrText xml:space="preserve"> \* MERGEFORMAT </w:instrText>
      </w:r>
      <w:r w:rsidR="001B52C7">
        <w:rPr>
          <w:rFonts w:cs="Arial"/>
        </w:rPr>
        <w:fldChar w:fldCharType="separate"/>
      </w:r>
      <w:r w:rsidR="00B55F0B">
        <w:rPr>
          <w:rFonts w:cs="Arial"/>
          <w:cs/>
        </w:rPr>
        <w:t>‎</w:t>
      </w:r>
      <w:r w:rsidR="00B55F0B">
        <w:rPr>
          <w:rFonts w:cs="Arial"/>
        </w:rPr>
        <w:t>[2]</w:t>
      </w:r>
      <w:r w:rsidR="001B52C7">
        <w:rPr>
          <w:rFonts w:cs="Arial"/>
        </w:rPr>
        <w:fldChar w:fldCharType="end"/>
      </w:r>
      <w:r w:rsidR="00FD3495">
        <w:rPr>
          <w:rFonts w:cs="Arial"/>
        </w:rPr>
        <w:t>.</w:t>
      </w:r>
    </w:p>
    <w:p w:rsidR="00FD3495" w:rsidRDefault="00FD3495" w:rsidP="000768E1">
      <w:pPr>
        <w:pStyle w:val="BodyText"/>
        <w:jc w:val="both"/>
        <w:rPr>
          <w:rFonts w:cs="Arial"/>
        </w:rPr>
      </w:pPr>
      <w:r>
        <w:rPr>
          <w:rFonts w:cs="Arial"/>
        </w:rPr>
        <w:t>If not otherwise noted in the respective sections, the f</w:t>
      </w:r>
      <w:r w:rsidR="0081162B">
        <w:rPr>
          <w:rFonts w:cs="Arial"/>
        </w:rPr>
        <w:t xml:space="preserve">ollowing are needed to use EPTF </w:t>
      </w:r>
      <w:r>
        <w:rPr>
          <w:rFonts w:cs="Arial"/>
        </w:rPr>
        <w:t>CLL</w:t>
      </w:r>
      <w:r w:rsidR="0081162B">
        <w:rPr>
          <w:rFonts w:cs="Arial"/>
        </w:rPr>
        <w:t xml:space="preserve"> </w:t>
      </w:r>
      <w:r w:rsidR="000768E1">
        <w:t>Semaphore</w:t>
      </w:r>
      <w:r w:rsidR="00001370">
        <w:rPr>
          <w:rFonts w:cs="Arial"/>
        </w:rPr>
        <w:t>:</w:t>
      </w:r>
    </w:p>
    <w:p w:rsidR="00FD3495" w:rsidRDefault="00FD3495" w:rsidP="007C643F">
      <w:pPr>
        <w:pStyle w:val="BodyText"/>
        <w:numPr>
          <w:ilvl w:val="0"/>
          <w:numId w:val="26"/>
        </w:numPr>
        <w:jc w:val="both"/>
      </w:pPr>
      <w:r>
        <w:t>Copy the files listed in section [</w:t>
      </w:r>
      <w:r w:rsidR="007C643F">
        <w:fldChar w:fldCharType="begin"/>
      </w:r>
      <w:r w:rsidR="007C643F">
        <w:instrText xml:space="preserve"> REF _Ref184110824 \r \h </w:instrText>
      </w:r>
      <w:r w:rsidR="007C643F">
        <w:fldChar w:fldCharType="separate"/>
      </w:r>
      <w:r w:rsidR="00B55F0B">
        <w:rPr>
          <w:cs/>
        </w:rPr>
        <w:t>‎</w:t>
      </w:r>
      <w:r w:rsidR="00B55F0B">
        <w:t>2.2</w:t>
      </w:r>
      <w:r w:rsidR="007C643F">
        <w:fldChar w:fldCharType="end"/>
      </w:r>
      <w:r w:rsidR="000B0551">
        <w:t xml:space="preserve">, </w:t>
      </w:r>
      <w:r>
        <w:fldChar w:fldCharType="begin"/>
      </w:r>
      <w:r>
        <w:instrText xml:space="preserve"> REF _Ref182711337 \r \h </w:instrText>
      </w:r>
      <w:r w:rsidR="00C76D5A">
        <w:instrText xml:space="preserve"> \* MERGEFORMAT </w:instrText>
      </w:r>
      <w:r>
        <w:fldChar w:fldCharType="separate"/>
      </w:r>
      <w:r w:rsidR="00B55F0B">
        <w:rPr>
          <w:cs/>
        </w:rPr>
        <w:t>‎</w:t>
      </w:r>
      <w:r w:rsidR="00B55F0B">
        <w:t>2.3</w:t>
      </w:r>
      <w:r>
        <w:fldChar w:fldCharType="end"/>
      </w:r>
      <w:r>
        <w:t>] to the directory of the test suite or create symbolic links to them.</w:t>
      </w:r>
    </w:p>
    <w:p w:rsidR="00FD3495" w:rsidRPr="00846346" w:rsidRDefault="00FD3495" w:rsidP="0081162B">
      <w:pPr>
        <w:pStyle w:val="BodyText"/>
        <w:numPr>
          <w:ilvl w:val="0"/>
          <w:numId w:val="25"/>
        </w:numPr>
        <w:jc w:val="both"/>
      </w:pPr>
      <w:r>
        <w:t xml:space="preserve">Import the </w:t>
      </w:r>
      <w:r w:rsidR="0081162B">
        <w:t>NameService</w:t>
      </w:r>
      <w:r w:rsidR="008B48C5">
        <w:rPr>
          <w:color w:val="0000FF"/>
        </w:rPr>
        <w:t xml:space="preserve"> </w:t>
      </w:r>
      <w:r w:rsidR="00C91C1E">
        <w:t>demo</w:t>
      </w:r>
      <w:r>
        <w:t xml:space="preserve"> </w:t>
      </w:r>
      <w:r w:rsidR="00C91C1E">
        <w:t xml:space="preserve">or write your own application </w:t>
      </w:r>
      <w:r w:rsidR="00B90ECF">
        <w:t>using</w:t>
      </w:r>
      <w:r w:rsidR="00C91C1E">
        <w:t xml:space="preserve"> </w:t>
      </w:r>
      <w:r w:rsidR="0081162B">
        <w:t>NameService</w:t>
      </w:r>
      <w:r w:rsidR="00846346" w:rsidRPr="00846346">
        <w:t>.</w:t>
      </w:r>
    </w:p>
    <w:p w:rsidR="00FD3495" w:rsidRDefault="00FD3495" w:rsidP="00C76D5A">
      <w:pPr>
        <w:pStyle w:val="BodyText"/>
        <w:numPr>
          <w:ilvl w:val="0"/>
          <w:numId w:val="25"/>
        </w:numPr>
        <w:jc w:val="both"/>
      </w:pPr>
      <w:r>
        <w:t>Create Makefile or modify the existing one. For more details see the relevant section of</w:t>
      </w:r>
      <w:r w:rsidR="00B425E5">
        <w:t xml:space="preserve"> </w:t>
      </w:r>
      <w:r w:rsidR="00B425E5">
        <w:fldChar w:fldCharType="begin"/>
      </w:r>
      <w:r w:rsidR="00B425E5">
        <w:instrText xml:space="preserve"> REF _Ref182888820 \r \h </w:instrText>
      </w:r>
      <w:r w:rsidR="00C76D5A">
        <w:instrText xml:space="preserve"> \* MERGEFORMAT </w:instrText>
      </w:r>
      <w:r w:rsidR="00B425E5">
        <w:fldChar w:fldCharType="separate"/>
      </w:r>
      <w:r w:rsidR="00B55F0B">
        <w:rPr>
          <w:cs/>
        </w:rPr>
        <w:t>‎</w:t>
      </w:r>
      <w:r w:rsidR="00B55F0B">
        <w:t>[2]</w:t>
      </w:r>
      <w:r w:rsidR="00B425E5">
        <w:fldChar w:fldCharType="end"/>
      </w:r>
      <w:r>
        <w:t>.</w:t>
      </w:r>
    </w:p>
    <w:p w:rsidR="00846346" w:rsidRDefault="00C91C1E" w:rsidP="00933BF6">
      <w:pPr>
        <w:pStyle w:val="BodyText"/>
        <w:numPr>
          <w:ilvl w:val="0"/>
          <w:numId w:val="25"/>
        </w:numPr>
        <w:jc w:val="both"/>
      </w:pPr>
      <w:r>
        <w:t>Edit the config file according to your needs, see following section [</w:t>
      </w:r>
      <w:r>
        <w:fldChar w:fldCharType="begin"/>
      </w:r>
      <w:r>
        <w:instrText xml:space="preserve"> REF _Ref182711503 \r \h </w:instrText>
      </w:r>
      <w:r w:rsidR="00C76D5A">
        <w:instrText xml:space="preserve"> \* MERGEFORMAT </w:instrText>
      </w:r>
      <w:r>
        <w:fldChar w:fldCharType="separate"/>
      </w:r>
      <w:r w:rsidR="00B55F0B">
        <w:rPr>
          <w:cs/>
        </w:rPr>
        <w:t>‎</w:t>
      </w:r>
      <w:r w:rsidR="00B55F0B">
        <w:t>2.5</w:t>
      </w:r>
      <w:r>
        <w:fldChar w:fldCharType="end"/>
      </w:r>
      <w:r>
        <w:t>].</w:t>
      </w:r>
    </w:p>
    <w:p w:rsidR="009E3A67" w:rsidRDefault="009E3A67">
      <w:pPr>
        <w:pStyle w:val="Heading2"/>
      </w:pPr>
      <w:bookmarkStart w:id="55" w:name="_Ref182711503"/>
      <w:bookmarkStart w:id="56" w:name="_Toc182727545"/>
      <w:bookmarkStart w:id="57" w:name="_Toc211150900"/>
      <w:r>
        <w:t>Configuration</w:t>
      </w:r>
      <w:bookmarkEnd w:id="41"/>
      <w:bookmarkEnd w:id="55"/>
      <w:bookmarkEnd w:id="56"/>
      <w:bookmarkEnd w:id="57"/>
    </w:p>
    <w:p w:rsidR="009E3A67" w:rsidRDefault="009E3A67" w:rsidP="00B425E5">
      <w:pPr>
        <w:pStyle w:val="BodyText"/>
        <w:jc w:val="both"/>
      </w:pPr>
      <w:r>
        <w:t>The executable test program behaviour is determined via the run-time configuration file. This is a simple text file, which contains various sections. The usual suffix 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B55F0B">
        <w:rPr>
          <w:cs/>
        </w:rPr>
        <w:t>‎</w:t>
      </w:r>
      <w:r w:rsidR="00B55F0B">
        <w:t>[2]</w:t>
      </w:r>
      <w:r w:rsidR="00B425E5">
        <w:fldChar w:fldCharType="end"/>
      </w:r>
      <w:r>
        <w:t>.</w:t>
      </w:r>
    </w:p>
    <w:p w:rsidR="009E3A67" w:rsidRDefault="00B23121" w:rsidP="00B23121">
      <w:pPr>
        <w:pStyle w:val="BodyText"/>
        <w:jc w:val="both"/>
      </w:pPr>
      <w:r>
        <w:t>The EPTF Semaphore</w:t>
      </w:r>
      <w:r w:rsidR="009E3A67">
        <w:t xml:space="preserve"> </w:t>
      </w:r>
      <w:r w:rsidR="00D56084">
        <w:t>feature</w:t>
      </w:r>
      <w:r w:rsidR="009E3A67">
        <w:t xml:space="preserve"> defines TTCN-3 module parameters as defined in </w:t>
      </w:r>
      <w:r w:rsidR="00B425E5">
        <w:fldChar w:fldCharType="begin"/>
      </w:r>
      <w:r w:rsidR="00B425E5">
        <w:instrText xml:space="preserve"> REF _Ref182888820 \r \h </w:instrText>
      </w:r>
      <w:r w:rsidR="00B425E5">
        <w:fldChar w:fldCharType="separate"/>
      </w:r>
      <w:r w:rsidR="00B55F0B">
        <w:rPr>
          <w:cs/>
        </w:rPr>
        <w:t>‎</w:t>
      </w:r>
      <w:r w:rsidR="00B55F0B">
        <w:t>[2]</w:t>
      </w:r>
      <w:r w:rsidR="00B425E5">
        <w:fldChar w:fldCharType="end"/>
      </w:r>
      <w:r w:rsidR="009E3A67">
        <w:t xml:space="preserve"> clause 4. Actual values of these parameters – when</w:t>
      </w:r>
      <w:r w:rsidR="00E30E4B">
        <w:t xml:space="preserve"> there is</w:t>
      </w:r>
      <w:r w:rsidR="009E3A67">
        <w:t xml:space="preserve"> no default value or a different from the default actual value to be used – shall be given in the [MODULE_PARAMETERS] section of the configuration file.</w:t>
      </w:r>
    </w:p>
    <w:p w:rsidR="00FC2E5D" w:rsidRDefault="003A46BB" w:rsidP="00B23121">
      <w:pPr>
        <w:pStyle w:val="BodyText"/>
        <w:jc w:val="both"/>
      </w:pPr>
      <w:r>
        <w:t xml:space="preserve">The EPTF </w:t>
      </w:r>
      <w:r w:rsidR="00D91DDC">
        <w:t>Semaphore</w:t>
      </w:r>
      <w:r w:rsidR="0081162B">
        <w:t xml:space="preserve"> </w:t>
      </w:r>
      <w:r>
        <w:t>feature</w:t>
      </w:r>
      <w:r w:rsidR="0081162B">
        <w:t xml:space="preserve"> </w:t>
      </w:r>
      <w:r>
        <w:t>define</w:t>
      </w:r>
      <w:r w:rsidR="00B23121">
        <w:t>s</w:t>
      </w:r>
      <w:r w:rsidR="0081162B">
        <w:t xml:space="preserve"> </w:t>
      </w:r>
      <w:r w:rsidR="00B23121">
        <w:t>the following</w:t>
      </w:r>
      <w:r>
        <w:t xml:space="preserve"> module parameters</w:t>
      </w:r>
      <w:r w:rsidR="00B23121">
        <w:t>:</w:t>
      </w:r>
    </w:p>
    <w:p w:rsidR="00B23121" w:rsidRPr="00DA2EE1" w:rsidRDefault="00DA2EE1" w:rsidP="00B23121">
      <w:pPr>
        <w:pStyle w:val="BodyText"/>
        <w:jc w:val="both"/>
        <w:rPr>
          <w:b/>
          <w:bCs/>
        </w:rPr>
      </w:pPr>
      <w:r w:rsidRPr="00DA2EE1">
        <w:rPr>
          <w:b/>
          <w:bCs/>
        </w:rPr>
        <w:t>boolean EPTF_CLL_Semaphore_Definitions.</w:t>
      </w:r>
      <w:r w:rsidR="00B23121" w:rsidRPr="00DA2EE1">
        <w:rPr>
          <w:b/>
          <w:bCs/>
        </w:rPr>
        <w:t>tsp_debugVerbose_PoolMgmt</w:t>
      </w:r>
    </w:p>
    <w:p w:rsidR="00DA2EE1" w:rsidRPr="00B23121" w:rsidRDefault="00DA2EE1" w:rsidP="00DA2EE1">
      <w:pPr>
        <w:pStyle w:val="Text"/>
      </w:pPr>
      <w:r>
        <w:t>The debug messages of the semaphore pool can be enabled by this module parameter. Default: false.</w:t>
      </w:r>
    </w:p>
    <w:p w:rsidR="000E65D6" w:rsidRDefault="000E65D6" w:rsidP="000E65D6">
      <w:pPr>
        <w:pStyle w:val="Heading2"/>
      </w:pPr>
      <w:bookmarkStart w:id="58" w:name="_Toc211150901"/>
      <w:r>
        <w:lastRenderedPageBreak/>
        <w:t>Usage</w:t>
      </w:r>
      <w:bookmarkEnd w:id="58"/>
    </w:p>
    <w:p w:rsidR="000E65D6" w:rsidRDefault="000E65D6" w:rsidP="00512066">
      <w:pPr>
        <w:pStyle w:val="BodyText"/>
      </w:pPr>
      <w:r>
        <w:t xml:space="preserve">To use the EPTF </w:t>
      </w:r>
      <w:r w:rsidR="00512066">
        <w:t>Semaphore</w:t>
      </w:r>
      <w:r w:rsidR="00633C87">
        <w:t xml:space="preserve"> </w:t>
      </w:r>
      <w:r>
        <w:t xml:space="preserve">feature </w:t>
      </w:r>
    </w:p>
    <w:p w:rsidR="000E65D6" w:rsidRDefault="00633C87" w:rsidP="00715ABB">
      <w:pPr>
        <w:pStyle w:val="BodyText"/>
        <w:numPr>
          <w:ilvl w:val="0"/>
          <w:numId w:val="28"/>
        </w:numPr>
      </w:pPr>
      <w:r>
        <w:t>E</w:t>
      </w:r>
      <w:r w:rsidR="000E65D6">
        <w:t>xtend</w:t>
      </w:r>
      <w:r>
        <w:t xml:space="preserve"> one of</w:t>
      </w:r>
      <w:r w:rsidR="000E65D6">
        <w:t xml:space="preserve"> </w:t>
      </w:r>
      <w:r>
        <w:t>your component with the EPTF_</w:t>
      </w:r>
      <w:r w:rsidR="00715ABB">
        <w:t>Semaphore</w:t>
      </w:r>
      <w:r w:rsidR="000E65D6">
        <w:t xml:space="preserve">_CT </w:t>
      </w:r>
    </w:p>
    <w:p w:rsidR="000E65D6" w:rsidRDefault="000E65D6" w:rsidP="00715ABB">
      <w:pPr>
        <w:pStyle w:val="BodyText"/>
        <w:numPr>
          <w:ilvl w:val="0"/>
          <w:numId w:val="28"/>
        </w:numPr>
      </w:pPr>
      <w:r>
        <w:t xml:space="preserve">call the init function of the </w:t>
      </w:r>
      <w:r w:rsidR="00715ABB">
        <w:t>Semaphore</w:t>
      </w:r>
      <w:r>
        <w:t xml:space="preserve"> to initialize the feature</w:t>
      </w:r>
    </w:p>
    <w:p w:rsidR="00633C87" w:rsidRDefault="000E65D6" w:rsidP="00715ABB">
      <w:pPr>
        <w:pStyle w:val="BodyText"/>
        <w:numPr>
          <w:ilvl w:val="0"/>
          <w:numId w:val="28"/>
        </w:numPr>
      </w:pPr>
      <w:r>
        <w:t xml:space="preserve">use its public functions to </w:t>
      </w:r>
      <w:r w:rsidR="00715ABB">
        <w:t>create/wait for/unlock a semaphore</w:t>
      </w:r>
    </w:p>
    <w:p w:rsidR="000E65D6" w:rsidRDefault="000E65D6" w:rsidP="00715ABB">
      <w:pPr>
        <w:pStyle w:val="BodyText"/>
      </w:pPr>
      <w:r>
        <w:t xml:space="preserve">Note, that the init function </w:t>
      </w:r>
      <w:r w:rsidR="00715ABB">
        <w:t>registers the cleanup function of</w:t>
      </w:r>
      <w:r>
        <w:t xml:space="preserve"> the </w:t>
      </w:r>
      <w:r w:rsidR="00715ABB">
        <w:t>Semaphore</w:t>
      </w:r>
      <w:r>
        <w:t>, so it is not necessary to call it explicitly.</w:t>
      </w:r>
    </w:p>
    <w:p w:rsidR="006F6316" w:rsidRDefault="000E65D6" w:rsidP="00715ABB">
      <w:pPr>
        <w:pStyle w:val="BodyText"/>
      </w:pPr>
      <w:r>
        <w:t>Do not access the component variables in EPTF_</w:t>
      </w:r>
      <w:r w:rsidR="00715ABB">
        <w:t>Semaphore</w:t>
      </w:r>
      <w:r>
        <w:t>_CT</w:t>
      </w:r>
      <w:r w:rsidR="00633C87">
        <w:t xml:space="preserve"> </w:t>
      </w:r>
      <w:r>
        <w:t>directly! Use the API functions instead.</w:t>
      </w:r>
    </w:p>
    <w:p w:rsidR="00EB4DA6" w:rsidRDefault="00EB4DA6" w:rsidP="00EB4DA6">
      <w:pPr>
        <w:pStyle w:val="BodyText"/>
      </w:pPr>
      <w:r>
        <w:t xml:space="preserve">When the </w:t>
      </w:r>
      <w:r w:rsidR="00745A5F">
        <w:t>f_EPTF_</w:t>
      </w:r>
      <w:r w:rsidRPr="00C64130">
        <w:t>Semaphore_waitForUnlock</w:t>
      </w:r>
      <w:r>
        <w:t xml:space="preserve"> function is called on a locked semaphore it blocks execution until the semaphore is unlocked. To be able to unlock the Semaphore the altstep that handles the unlock event and calls the unlock function should be activated as default before calling the wait function.</w:t>
      </w:r>
    </w:p>
    <w:p w:rsidR="00AF52E1" w:rsidRDefault="00AF52E1" w:rsidP="00AF52E1">
      <w:pPr>
        <w:pStyle w:val="BodyText"/>
      </w:pPr>
      <w:r>
        <w:t>The basic steps you have to do to use the Semaphore when you have to wait the response after the request was sent:</w:t>
      </w:r>
    </w:p>
    <w:p w:rsidR="00AF52E1" w:rsidRPr="00AF52E1" w:rsidRDefault="00AF52E1" w:rsidP="00AF52E1">
      <w:pPr>
        <w:pStyle w:val="Text"/>
        <w:numPr>
          <w:ilvl w:val="0"/>
          <w:numId w:val="34"/>
        </w:numPr>
        <w:rPr>
          <w:rFonts w:eastAsia="SimSun"/>
          <w:lang w:val="en-US" w:eastAsia="zh-CN"/>
        </w:rPr>
      </w:pPr>
      <w:r w:rsidRPr="00AF52E1">
        <w:rPr>
          <w:rFonts w:eastAsia="SimSun"/>
          <w:lang w:val="en-US" w:eastAsia="zh-CN"/>
        </w:rPr>
        <w:t>Create a semaphore and store its id (or send with the message, and put it into the response)</w:t>
      </w:r>
    </w:p>
    <w:p w:rsidR="00AF52E1" w:rsidRPr="00AF52E1" w:rsidRDefault="00AF52E1" w:rsidP="00AF52E1">
      <w:pPr>
        <w:pStyle w:val="Text"/>
        <w:numPr>
          <w:ilvl w:val="0"/>
          <w:numId w:val="34"/>
        </w:numPr>
        <w:rPr>
          <w:rFonts w:eastAsia="SimSun"/>
          <w:lang w:val="en-US" w:eastAsia="zh-CN"/>
        </w:rPr>
      </w:pPr>
      <w:r w:rsidRPr="00AF52E1">
        <w:rPr>
          <w:rFonts w:eastAsia="SimSun"/>
          <w:lang w:val="en-US" w:eastAsia="zh-CN"/>
        </w:rPr>
        <w:t>send the message of which response should be received</w:t>
      </w:r>
    </w:p>
    <w:p w:rsidR="00AF52E1" w:rsidRPr="00AF52E1" w:rsidRDefault="00AF52E1" w:rsidP="00AF52E1">
      <w:pPr>
        <w:pStyle w:val="Text"/>
        <w:numPr>
          <w:ilvl w:val="0"/>
          <w:numId w:val="34"/>
        </w:numPr>
        <w:rPr>
          <w:rFonts w:eastAsia="SimSun"/>
          <w:lang w:val="en-US" w:eastAsia="zh-CN"/>
        </w:rPr>
      </w:pPr>
      <w:r w:rsidRPr="00AF52E1">
        <w:rPr>
          <w:rFonts w:eastAsia="SimSun"/>
          <w:lang w:val="en-US" w:eastAsia="zh-CN"/>
        </w:rPr>
        <w:t>in the default altstep write the handle</w:t>
      </w:r>
      <w:r>
        <w:rPr>
          <w:rFonts w:eastAsia="SimSun"/>
          <w:lang w:val="en-US" w:eastAsia="zh-CN"/>
        </w:rPr>
        <w:t>r</w:t>
      </w:r>
      <w:r w:rsidRPr="00AF52E1">
        <w:rPr>
          <w:rFonts w:eastAsia="SimSun"/>
          <w:lang w:val="en-US" w:eastAsia="zh-CN"/>
        </w:rPr>
        <w:t xml:space="preserve"> function of the response so that it unlocks the semaphore</w:t>
      </w:r>
    </w:p>
    <w:p w:rsidR="00AF52E1" w:rsidRPr="00FE6976" w:rsidRDefault="00AF52E1" w:rsidP="00FE6976">
      <w:pPr>
        <w:pStyle w:val="Text"/>
        <w:numPr>
          <w:ilvl w:val="0"/>
          <w:numId w:val="34"/>
        </w:numPr>
        <w:rPr>
          <w:rFonts w:eastAsia="SimSun"/>
          <w:lang w:val="en-US" w:eastAsia="zh-CN"/>
        </w:rPr>
      </w:pPr>
      <w:r w:rsidRPr="00AF52E1">
        <w:rPr>
          <w:rFonts w:eastAsia="SimSun"/>
          <w:lang w:val="en-US" w:eastAsia="zh-CN"/>
        </w:rPr>
        <w:t>In the place where you want to be sure, that the response is received call the waitForUnlock function.</w:t>
      </w:r>
    </w:p>
    <w:p w:rsidR="00956385" w:rsidRDefault="00C72D3F" w:rsidP="00291FAE">
      <w:pPr>
        <w:pStyle w:val="Heading1"/>
      </w:pPr>
      <w:bookmarkStart w:id="59" w:name="_Toc175455205"/>
      <w:bookmarkStart w:id="60" w:name="_Toc182727546"/>
      <w:bookmarkStart w:id="61" w:name="_Toc211150902"/>
      <w:r>
        <w:t>E</w:t>
      </w:r>
      <w:r w:rsidR="00956385">
        <w:t>rror messages</w:t>
      </w:r>
      <w:bookmarkEnd w:id="59"/>
      <w:bookmarkEnd w:id="60"/>
      <w:bookmarkEnd w:id="61"/>
    </w:p>
    <w:p w:rsidR="00B851F5" w:rsidRDefault="003341F7" w:rsidP="008C1806">
      <w:pPr>
        <w:pStyle w:val="BodyText"/>
        <w:jc w:val="both"/>
      </w:pPr>
      <w:r>
        <w:t>Please note, that besides the below described error me</w:t>
      </w:r>
      <w:r w:rsidR="00886AD8">
        <w:t xml:space="preserve">ssages, error messages shown in </w:t>
      </w:r>
      <w:r w:rsidR="00B425E5">
        <w:fldChar w:fldCharType="begin"/>
      </w:r>
      <w:r w:rsidR="00B425E5">
        <w:instrText xml:space="preserve"> REF _Ref182888820 \r \h </w:instrText>
      </w:r>
      <w:r w:rsidR="00B425E5">
        <w:fldChar w:fldCharType="separate"/>
      </w:r>
      <w:r w:rsidR="00B55F0B">
        <w:rPr>
          <w:cs/>
        </w:rPr>
        <w:t>‎</w:t>
      </w:r>
      <w:r w:rsidR="00B55F0B">
        <w:t>[2]</w:t>
      </w:r>
      <w:r w:rsidR="00B425E5">
        <w:fldChar w:fldCharType="end"/>
      </w:r>
      <w:r w:rsidR="00B90ECF">
        <w:t xml:space="preserve"> </w:t>
      </w:r>
      <w:r w:rsidR="001B52C7">
        <w:t xml:space="preserve"> or those of other used features or product </w:t>
      </w:r>
      <w:r>
        <w:t>may also appear.</w:t>
      </w:r>
    </w:p>
    <w:p w:rsidR="008C1806" w:rsidRDefault="008C1806" w:rsidP="008C1806">
      <w:pPr>
        <w:pStyle w:val="BodyText"/>
        <w:jc w:val="both"/>
      </w:pPr>
      <w:r>
        <w:t>There are no error messages defined by the Semaphore feature.</w:t>
      </w:r>
    </w:p>
    <w:p w:rsidR="00956385" w:rsidRDefault="00956385" w:rsidP="00956385">
      <w:pPr>
        <w:pStyle w:val="Heading1"/>
        <w:numPr>
          <w:ilvl w:val="0"/>
          <w:numId w:val="1"/>
        </w:numPr>
        <w:jc w:val="both"/>
      </w:pPr>
      <w:bookmarkStart w:id="62" w:name="_Toc182727547"/>
      <w:bookmarkStart w:id="63" w:name="_Toc211150903"/>
      <w:r>
        <w:t>Warning messages</w:t>
      </w:r>
      <w:bookmarkEnd w:id="62"/>
      <w:bookmarkEnd w:id="63"/>
    </w:p>
    <w:p w:rsidR="00CF665C" w:rsidRDefault="001B52C7" w:rsidP="00CF665C">
      <w:pPr>
        <w:pStyle w:val="BodyText"/>
        <w:jc w:val="both"/>
      </w:pPr>
      <w:r>
        <w:t xml:space="preserve">Please note, that besides the below described warning messages, warning messages shown in </w:t>
      </w:r>
      <w:r w:rsidR="00B425E5">
        <w:fldChar w:fldCharType="begin"/>
      </w:r>
      <w:r w:rsidR="00B425E5">
        <w:instrText xml:space="preserve"> REF _Ref182888820 \r \h </w:instrText>
      </w:r>
      <w:r w:rsidR="00B425E5">
        <w:fldChar w:fldCharType="separate"/>
      </w:r>
      <w:r w:rsidR="00B55F0B">
        <w:rPr>
          <w:cs/>
        </w:rPr>
        <w:t>‎</w:t>
      </w:r>
      <w:r w:rsidR="00B55F0B">
        <w:t>[2]</w:t>
      </w:r>
      <w:r w:rsidR="00B425E5">
        <w:fldChar w:fldCharType="end"/>
      </w:r>
      <w:r>
        <w:t xml:space="preserve">  or those of other used features or product may also appear.</w:t>
      </w:r>
    </w:p>
    <w:p w:rsidR="00CF665C" w:rsidRDefault="00CF665C" w:rsidP="00CF665C">
      <w:pPr>
        <w:pStyle w:val="BodyText"/>
        <w:jc w:val="both"/>
      </w:pPr>
    </w:p>
    <w:p w:rsidR="00CF665C" w:rsidRDefault="00CF665C" w:rsidP="00CF665C">
      <w:pPr>
        <w:pStyle w:val="Text"/>
        <w:rPr>
          <w:b/>
          <w:bCs/>
        </w:rPr>
      </w:pPr>
      <w:r w:rsidRPr="00CF665C">
        <w:rPr>
          <w:b/>
          <w:bCs/>
        </w:rPr>
        <w:t xml:space="preserve">Semaphore is already locked: </w:t>
      </w:r>
      <w:r>
        <w:rPr>
          <w:b/>
          <w:bCs/>
        </w:rPr>
        <w:t>&lt;id&gt;</w:t>
      </w:r>
    </w:p>
    <w:p w:rsidR="00E77C8F" w:rsidRDefault="00CF665C" w:rsidP="00CF665C">
      <w:pPr>
        <w:pStyle w:val="Text"/>
      </w:pPr>
      <w:r>
        <w:t>The lock function is called for a semaphore that is already locked.</w:t>
      </w:r>
    </w:p>
    <w:p w:rsidR="00E77C8F" w:rsidRPr="00010552" w:rsidRDefault="00010552" w:rsidP="00010552">
      <w:pPr>
        <w:pStyle w:val="BodyText"/>
        <w:jc w:val="both"/>
        <w:rPr>
          <w:b/>
          <w:bCs/>
        </w:rPr>
      </w:pPr>
      <w:r w:rsidRPr="00010552">
        <w:rPr>
          <w:b/>
          <w:bCs/>
        </w:rPr>
        <w:t xml:space="preserve">Semaphore </w:t>
      </w:r>
      <w:r>
        <w:rPr>
          <w:b/>
          <w:bCs/>
        </w:rPr>
        <w:t>&lt;</w:t>
      </w:r>
      <w:r w:rsidRPr="00010552">
        <w:rPr>
          <w:b/>
          <w:bCs/>
        </w:rPr>
        <w:t>idx</w:t>
      </w:r>
      <w:r>
        <w:rPr>
          <w:b/>
          <w:bCs/>
        </w:rPr>
        <w:t>&gt;</w:t>
      </w:r>
      <w:r w:rsidRPr="00010552">
        <w:rPr>
          <w:b/>
          <w:bCs/>
        </w:rPr>
        <w:t xml:space="preserve"> was not unlocked before max waiting time expired. Semaphore unlocked</w:t>
      </w:r>
    </w:p>
    <w:p w:rsidR="00E77C8F" w:rsidRDefault="00010552" w:rsidP="00010552">
      <w:pPr>
        <w:pStyle w:val="Text"/>
      </w:pPr>
      <w:r>
        <w:lastRenderedPageBreak/>
        <w:t>The wait function reached the max waiting time but the Semaphore was not unlocked. The semaphore is unlocked automatically to let the wait function run</w:t>
      </w:r>
      <w:r w:rsidR="00E77C8F">
        <w:t>.</w:t>
      </w:r>
    </w:p>
    <w:p w:rsidR="009E3A67" w:rsidRDefault="009E3A67">
      <w:pPr>
        <w:pStyle w:val="Heading1"/>
      </w:pPr>
      <w:bookmarkStart w:id="64" w:name="_Toc182727548"/>
      <w:bookmarkStart w:id="65" w:name="_Toc211150904"/>
      <w:r>
        <w:t>Examples</w:t>
      </w:r>
      <w:bookmarkEnd w:id="64"/>
      <w:bookmarkEnd w:id="65"/>
    </w:p>
    <w:p w:rsidR="009E3A67" w:rsidRDefault="009E3A67" w:rsidP="00327261">
      <w:pPr>
        <w:pStyle w:val="BodyText"/>
      </w:pPr>
      <w:r>
        <w:t>The “demo” directory of the deliverable contains the following examples:</w:t>
      </w:r>
    </w:p>
    <w:p w:rsidR="00694A76" w:rsidRDefault="00222518" w:rsidP="00FD5FC3">
      <w:pPr>
        <w:pStyle w:val="BodyText"/>
        <w:numPr>
          <w:ilvl w:val="0"/>
          <w:numId w:val="24"/>
        </w:numPr>
      </w:pPr>
      <w:r>
        <w:t>EPTF_</w:t>
      </w:r>
      <w:r w:rsidR="00FD5FC3">
        <w:t>Semaphore</w:t>
      </w:r>
      <w:r w:rsidR="00A370C0" w:rsidRPr="00694A76">
        <w:t>_</w:t>
      </w:r>
      <w:r w:rsidR="00FD5D3C">
        <w:t>test</w:t>
      </w:r>
      <w:r w:rsidR="00A370C0" w:rsidRPr="00694A76">
        <w:t>.ttcn</w:t>
      </w:r>
      <w:bookmarkStart w:id="66" w:name="_Toc175455209"/>
      <w:bookmarkStart w:id="67" w:name="_Toc182727549"/>
    </w:p>
    <w:p w:rsidR="009A1CA1" w:rsidRDefault="009A1CA1" w:rsidP="009A1CA1">
      <w:pPr>
        <w:pStyle w:val="Heading2"/>
        <w:numPr>
          <w:ilvl w:val="1"/>
          <w:numId w:val="1"/>
        </w:numPr>
        <w:jc w:val="both"/>
      </w:pPr>
      <w:bookmarkStart w:id="68" w:name="_Toc211150905"/>
      <w:r>
        <w:t>Configuration file</w:t>
      </w:r>
      <w:bookmarkEnd w:id="66"/>
      <w:bookmarkEnd w:id="67"/>
      <w:bookmarkEnd w:id="68"/>
    </w:p>
    <w:p w:rsidR="00B90ECF" w:rsidRDefault="009A1CA1" w:rsidP="00C22915">
      <w:pPr>
        <w:pStyle w:val="BodyText"/>
        <w:jc w:val="both"/>
      </w:pPr>
      <w:r>
        <w:t xml:space="preserve">The </w:t>
      </w:r>
      <w:r w:rsidR="00C4635E">
        <w:t>used</w:t>
      </w:r>
      <w:r>
        <w:t xml:space="preserve"> configuration file</w:t>
      </w:r>
      <w:r w:rsidR="00A370C0">
        <w:t xml:space="preserve"> (main.cfg)</w:t>
      </w:r>
      <w:r>
        <w:t xml:space="preserve"> </w:t>
      </w:r>
      <w:r w:rsidR="00C22915">
        <w:t>sets only the parameters in the [LOGGING] section. No special configuration is needed.</w:t>
      </w:r>
    </w:p>
    <w:p w:rsidR="00580CC7" w:rsidRDefault="00580CC7" w:rsidP="00580CC7">
      <w:pPr>
        <w:pStyle w:val="Heading2"/>
      </w:pPr>
      <w:bookmarkStart w:id="69" w:name="_Toc175455210"/>
      <w:bookmarkStart w:id="70" w:name="_Toc182727550"/>
      <w:bookmarkStart w:id="71" w:name="_Toc211150906"/>
      <w:r>
        <w:t>Demo Module</w:t>
      </w:r>
      <w:bookmarkEnd w:id="69"/>
      <w:bookmarkEnd w:id="70"/>
      <w:bookmarkEnd w:id="71"/>
    </w:p>
    <w:p w:rsidR="0008248A" w:rsidRDefault="003A3B78" w:rsidP="00FD5FC3">
      <w:pPr>
        <w:pStyle w:val="BodyText"/>
      </w:pPr>
      <w:r>
        <w:t>The</w:t>
      </w:r>
      <w:r w:rsidR="00947BCA">
        <w:t xml:space="preserve"> demo module </w:t>
      </w:r>
      <w:r w:rsidR="00345B29" w:rsidRPr="00345B29">
        <w:t>EPTF_</w:t>
      </w:r>
      <w:r w:rsidR="00FD5FC3">
        <w:t>Semaphore</w:t>
      </w:r>
      <w:r w:rsidR="00947BCA" w:rsidRPr="00345B29">
        <w:t>_</w:t>
      </w:r>
      <w:r w:rsidR="00B66D17">
        <w:t>test</w:t>
      </w:r>
      <w:r w:rsidR="00345B29">
        <w:t>.ttcn</w:t>
      </w:r>
      <w:r w:rsidR="00947BCA">
        <w:t xml:space="preserve"> illustrates a typical usage of the </w:t>
      </w:r>
      <w:r w:rsidR="00FD5FC3">
        <w:t>Semaphore</w:t>
      </w:r>
      <w:r w:rsidR="008B48C5">
        <w:rPr>
          <w:color w:val="0000FF"/>
        </w:rPr>
        <w:t xml:space="preserve"> </w:t>
      </w:r>
      <w:r w:rsidR="00947BCA">
        <w:t>feature</w:t>
      </w:r>
      <w:r w:rsidR="006E6FBD">
        <w:t>.</w:t>
      </w:r>
    </w:p>
    <w:p w:rsidR="0086191A" w:rsidRDefault="0086191A" w:rsidP="00367EA8">
      <w:pPr>
        <w:pStyle w:val="BodyText"/>
      </w:pPr>
      <w:r>
        <w:t xml:space="preserve">The usage of </w:t>
      </w:r>
      <w:r w:rsidR="00FD5FC3">
        <w:t>create</w:t>
      </w:r>
      <w:r>
        <w:t>/</w:t>
      </w:r>
      <w:r w:rsidR="00FD5FC3">
        <w:t>lock</w:t>
      </w:r>
      <w:r>
        <w:t>/</w:t>
      </w:r>
      <w:r w:rsidR="00FD5FC3">
        <w:t>unlock/wait</w:t>
      </w:r>
      <w:r>
        <w:t xml:space="preserve"> functions are shown.</w:t>
      </w:r>
    </w:p>
    <w:p w:rsidR="00367EA8" w:rsidRDefault="00367EA8" w:rsidP="00367EA8">
      <w:pPr>
        <w:pStyle w:val="Heading3"/>
      </w:pPr>
      <w:bookmarkStart w:id="72" w:name="_Toc211150907"/>
      <w:r>
        <w:t>Detailed description</w:t>
      </w:r>
      <w:bookmarkEnd w:id="72"/>
    </w:p>
    <w:p w:rsidR="00D55886" w:rsidRDefault="00D55886" w:rsidP="00FD5FC3">
      <w:pPr>
        <w:pStyle w:val="BodyText"/>
      </w:pPr>
      <w:r>
        <w:t>In the demo two semaphore are created. The first semaphore will be unlocked and the default maxWait time (infinity) is used in the wait function. The second semaphore is not unlocked, but the maxWait time is set the 1 second.</w:t>
      </w:r>
      <w:r w:rsidR="0029532A">
        <w:t xml:space="preserve"> After the semaphores are created the default altstep is activated and the wait function of the first semaphore is called with infinity wait time.</w:t>
      </w:r>
    </w:p>
    <w:p w:rsidR="00D55886" w:rsidRDefault="00D55886" w:rsidP="00FD5FC3">
      <w:pPr>
        <w:pStyle w:val="BodyText"/>
      </w:pPr>
      <w:r>
        <w:t>The event that corresponds to a received message</w:t>
      </w:r>
      <w:r w:rsidR="0029532A">
        <w:t xml:space="preserve"> is</w:t>
      </w:r>
      <w:r>
        <w:t xml:space="preserve"> t_wait timer’s timeout event. When this event handled in the activated default altstep it will wait for the second semaphore to be unlocked. This never happens, so its wait function will exit because the m</w:t>
      </w:r>
      <w:r w:rsidR="0029532A">
        <w:t>axWait time elapses</w:t>
      </w:r>
      <w:r>
        <w:t>. Then it unlocks the first semaphore and calls repeat. At this point as the semaphore is unlocked its waiting function</w:t>
      </w:r>
      <w:r w:rsidR="0029532A">
        <w:t xml:space="preserve"> continues and the verdict is set to pass.</w:t>
      </w:r>
    </w:p>
    <w:p w:rsidR="0008248A" w:rsidRPr="00E57E2D" w:rsidRDefault="0008248A" w:rsidP="0008248A">
      <w:pPr>
        <w:pStyle w:val="BodyText"/>
      </w:pPr>
    </w:p>
    <w:sectPr w:rsidR="0008248A" w:rsidRPr="00E57E2D">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48" w:rsidRDefault="00BB6548">
      <w:r>
        <w:separator/>
      </w:r>
    </w:p>
  </w:endnote>
  <w:endnote w:type="continuationSeparator" w:id="0">
    <w:p w:rsidR="00BB6548" w:rsidRDefault="00BB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F0B" w:rsidRDefault="00B5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F0B" w:rsidRPr="00B55F0B" w:rsidRDefault="00B55F0B" w:rsidP="00B55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F0B" w:rsidRDefault="00B5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48" w:rsidRDefault="00BB6548">
      <w:r>
        <w:separator/>
      </w:r>
    </w:p>
  </w:footnote>
  <w:footnote w:type="continuationSeparator" w:id="0">
    <w:p w:rsidR="00BB6548" w:rsidRDefault="00BB6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F0B" w:rsidRDefault="00B5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B5CFC">
      <w:tblPrEx>
        <w:tblCellMar>
          <w:top w:w="0" w:type="dxa"/>
          <w:bottom w:w="0" w:type="dxa"/>
        </w:tblCellMar>
      </w:tblPrEx>
      <w:trPr>
        <w:gridAfter w:val="1"/>
        <w:wAfter w:w="11" w:type="dxa"/>
        <w:hidden/>
      </w:trPr>
      <w:tc>
        <w:tcPr>
          <w:tcW w:w="5145" w:type="dxa"/>
          <w:gridSpan w:val="2"/>
        </w:tcPr>
        <w:p w:rsidR="00AB5CFC" w:rsidRDefault="00AB5CFC">
          <w:pPr>
            <w:pStyle w:val="Header"/>
            <w:tabs>
              <w:tab w:val="left" w:pos="3048"/>
            </w:tabs>
            <w:rPr>
              <w:vanish/>
              <w:sz w:val="20"/>
            </w:rPr>
          </w:pPr>
        </w:p>
      </w:tc>
      <w:tc>
        <w:tcPr>
          <w:tcW w:w="3927" w:type="dxa"/>
          <w:gridSpan w:val="3"/>
        </w:tcPr>
        <w:p w:rsidR="00AB5CFC" w:rsidRDefault="00AB5CFC">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AB5CFC" w:rsidRDefault="00AB5CFC">
          <w:pPr>
            <w:pStyle w:val="Header"/>
            <w:rPr>
              <w:position w:val="4"/>
              <w:sz w:val="20"/>
            </w:rPr>
          </w:pPr>
        </w:p>
      </w:tc>
    </w:tr>
    <w:tr w:rsidR="00AB5CFC">
      <w:tblPrEx>
        <w:tblCellMar>
          <w:top w:w="0" w:type="dxa"/>
          <w:bottom w:w="0" w:type="dxa"/>
        </w:tblCellMar>
      </w:tblPrEx>
      <w:trPr>
        <w:gridAfter w:val="1"/>
        <w:wAfter w:w="11" w:type="dxa"/>
        <w:trHeight w:val="480"/>
      </w:trPr>
      <w:tc>
        <w:tcPr>
          <w:tcW w:w="5145" w:type="dxa"/>
          <w:gridSpan w:val="2"/>
        </w:tcPr>
        <w:p w:rsidR="00AB5CFC" w:rsidRDefault="00C52122">
          <w:pPr>
            <w:pStyle w:val="Header"/>
            <w:rPr>
              <w:position w:val="10"/>
            </w:rPr>
          </w:pPr>
          <w:r>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AB5CFC" w:rsidRDefault="00AB5CFC">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B55F0B">
            <w:rPr>
              <w:position w:val="4"/>
              <w:sz w:val="20"/>
            </w:rPr>
            <w:t>Ericssonwide Internal</w:t>
          </w:r>
          <w:r>
            <w:rPr>
              <w:position w:val="4"/>
              <w:sz w:val="20"/>
            </w:rPr>
            <w:fldChar w:fldCharType="end"/>
          </w:r>
        </w:p>
        <w:p w:rsidR="00AB5CFC" w:rsidRDefault="00AB5CFC">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B55F0B">
            <w:rPr>
              <w:caps/>
              <w:position w:val="4"/>
              <w:sz w:val="20"/>
            </w:rPr>
            <w:t>USER GUIDE</w:t>
          </w:r>
          <w:r>
            <w:rPr>
              <w:caps/>
              <w:position w:val="4"/>
              <w:sz w:val="20"/>
            </w:rPr>
            <w:fldChar w:fldCharType="end"/>
          </w:r>
        </w:p>
      </w:tc>
      <w:tc>
        <w:tcPr>
          <w:tcW w:w="1134" w:type="dxa"/>
        </w:tcPr>
        <w:p w:rsidR="00AB5CFC" w:rsidRDefault="00AB5CFC">
          <w:pPr>
            <w:pStyle w:val="Header"/>
            <w:jc w:val="right"/>
            <w:rPr>
              <w:position w:val="4"/>
              <w:sz w:val="20"/>
            </w:rPr>
          </w:pPr>
        </w:p>
        <w:p w:rsidR="00AB5CFC" w:rsidRDefault="00AB5CFC">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C52122">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C52122">
            <w:rPr>
              <w:position w:val="4"/>
              <w:sz w:val="20"/>
            </w:rPr>
            <w:t>6</w:t>
          </w:r>
          <w:r>
            <w:rPr>
              <w:position w:val="4"/>
              <w:sz w:val="20"/>
            </w:rPr>
            <w:fldChar w:fldCharType="end"/>
          </w:r>
          <w:r>
            <w:rPr>
              <w:position w:val="4"/>
              <w:sz w:val="20"/>
            </w:rPr>
            <w:t>)</w:t>
          </w:r>
        </w:p>
      </w:tc>
    </w:tr>
    <w:tr w:rsidR="00AB5CF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B5CFC" w:rsidRDefault="00AB5CFC">
          <w:pPr>
            <w:pStyle w:val="NoSpellcheck"/>
          </w:pPr>
          <w:r>
            <w:t>Prepared (also subject responsible if other)</w:t>
          </w:r>
        </w:p>
      </w:tc>
      <w:tc>
        <w:tcPr>
          <w:tcW w:w="5060" w:type="dxa"/>
          <w:gridSpan w:val="4"/>
          <w:tcBorders>
            <w:top w:val="single" w:sz="6" w:space="0" w:color="auto"/>
          </w:tcBorders>
        </w:tcPr>
        <w:p w:rsidR="00AB5CFC" w:rsidRDefault="00AB5CFC">
          <w:pPr>
            <w:pStyle w:val="NoSpellcheck"/>
          </w:pPr>
          <w:r>
            <w:t>No.</w:t>
          </w:r>
        </w:p>
      </w:tc>
    </w:tr>
    <w:tr w:rsidR="00AB5CF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B5CFC" w:rsidRDefault="00AB5CFC">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B55F0B">
            <w:rPr>
              <w:position w:val="-4"/>
              <w:sz w:val="20"/>
            </w:rPr>
            <w:t>ETH/RZD József Gyürüsi (+36 1 437 7519)</w:t>
          </w:r>
          <w:r>
            <w:rPr>
              <w:position w:val="-4"/>
              <w:sz w:val="20"/>
            </w:rPr>
            <w:fldChar w:fldCharType="end"/>
          </w:r>
        </w:p>
      </w:tc>
      <w:tc>
        <w:tcPr>
          <w:tcW w:w="5060" w:type="dxa"/>
          <w:gridSpan w:val="4"/>
          <w:tcBorders>
            <w:bottom w:val="single" w:sz="6" w:space="0" w:color="auto"/>
          </w:tcBorders>
        </w:tcPr>
        <w:p w:rsidR="00AB5CFC" w:rsidRDefault="00AB5CFC">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B55F0B">
            <w:rPr>
              <w:position w:val="-4"/>
              <w:sz w:val="20"/>
            </w:rPr>
            <w:t>22/198 17-CNL 113 512 Uen</w:t>
          </w:r>
          <w:r>
            <w:rPr>
              <w:position w:val="-4"/>
              <w:sz w:val="20"/>
            </w:rPr>
            <w:fldChar w:fldCharType="end"/>
          </w:r>
        </w:p>
      </w:tc>
    </w:tr>
    <w:tr w:rsidR="00AB5CF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B5CFC" w:rsidRDefault="00AB5CFC">
          <w:pPr>
            <w:pStyle w:val="NoSpellcheck"/>
          </w:pPr>
          <w:r>
            <w:t>Approved</w:t>
          </w:r>
        </w:p>
      </w:tc>
      <w:tc>
        <w:tcPr>
          <w:tcW w:w="1319" w:type="dxa"/>
          <w:tcBorders>
            <w:top w:val="single" w:sz="6" w:space="0" w:color="auto"/>
            <w:right w:val="single" w:sz="6" w:space="0" w:color="auto"/>
          </w:tcBorders>
        </w:tcPr>
        <w:p w:rsidR="00AB5CFC" w:rsidRDefault="00AB5CFC">
          <w:pPr>
            <w:pStyle w:val="NoSpellcheck"/>
          </w:pPr>
          <w:r>
            <w:t>Checked</w:t>
          </w:r>
        </w:p>
      </w:tc>
      <w:tc>
        <w:tcPr>
          <w:tcW w:w="1516" w:type="dxa"/>
          <w:tcBorders>
            <w:right w:val="single" w:sz="6" w:space="0" w:color="auto"/>
          </w:tcBorders>
        </w:tcPr>
        <w:p w:rsidR="00AB5CFC" w:rsidRDefault="00AB5CFC">
          <w:pPr>
            <w:pStyle w:val="NoSpellcheck"/>
          </w:pPr>
          <w:r>
            <w:t>Date</w:t>
          </w:r>
        </w:p>
      </w:tc>
      <w:tc>
        <w:tcPr>
          <w:tcW w:w="964" w:type="dxa"/>
        </w:tcPr>
        <w:p w:rsidR="00AB5CFC" w:rsidRDefault="00AB5CFC">
          <w:pPr>
            <w:pStyle w:val="NoSpellcheck"/>
          </w:pPr>
          <w:r>
            <w:t>Rev</w:t>
          </w:r>
        </w:p>
      </w:tc>
      <w:tc>
        <w:tcPr>
          <w:tcW w:w="2579" w:type="dxa"/>
          <w:gridSpan w:val="2"/>
          <w:tcBorders>
            <w:left w:val="single" w:sz="6" w:space="0" w:color="auto"/>
          </w:tcBorders>
        </w:tcPr>
        <w:p w:rsidR="00AB5CFC" w:rsidRDefault="00AB5CFC">
          <w:pPr>
            <w:pStyle w:val="NoSpellcheck"/>
          </w:pPr>
          <w:r>
            <w:t>Reference</w:t>
          </w:r>
        </w:p>
      </w:tc>
    </w:tr>
    <w:tr w:rsidR="00AB5CF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B5CFC" w:rsidRDefault="00AB5CFC">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B55F0B">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AB5CFC" w:rsidRDefault="00AB5CFC">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AB5CFC" w:rsidRDefault="00AB5CFC">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B55F0B">
            <w:rPr>
              <w:position w:val="-4"/>
              <w:sz w:val="20"/>
            </w:rPr>
            <w:t>2007-12-06</w:t>
          </w:r>
          <w:r>
            <w:rPr>
              <w:position w:val="-4"/>
              <w:sz w:val="20"/>
            </w:rPr>
            <w:fldChar w:fldCharType="end"/>
          </w:r>
        </w:p>
      </w:tc>
      <w:tc>
        <w:tcPr>
          <w:tcW w:w="964" w:type="dxa"/>
          <w:tcBorders>
            <w:bottom w:val="single" w:sz="6" w:space="0" w:color="auto"/>
          </w:tcBorders>
        </w:tcPr>
        <w:p w:rsidR="00AB5CFC" w:rsidRDefault="00AB5CFC">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B55F0B">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AB5CFC" w:rsidRDefault="00AB5CFC">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B55F0B">
            <w:rPr>
              <w:position w:val="-4"/>
              <w:sz w:val="20"/>
            </w:rPr>
            <w:t>GASK2</w:t>
          </w:r>
          <w:r>
            <w:rPr>
              <w:position w:val="-4"/>
              <w:sz w:val="20"/>
            </w:rPr>
            <w:fldChar w:fldCharType="end"/>
          </w:r>
        </w:p>
      </w:tc>
    </w:tr>
  </w:tbl>
  <w:p w:rsidR="00AB5CFC" w:rsidRDefault="00AB5C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F0B" w:rsidRDefault="00B5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A05C5"/>
    <w:multiLevelType w:val="multilevel"/>
    <w:tmpl w:val="6CE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654DC"/>
    <w:multiLevelType w:val="hybridMultilevel"/>
    <w:tmpl w:val="9760AF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8"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DB092E"/>
    <w:multiLevelType w:val="hybridMultilevel"/>
    <w:tmpl w:val="AC7CB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CE08D0"/>
    <w:multiLevelType w:val="hybridMultilevel"/>
    <w:tmpl w:val="8D7C7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0E3179"/>
    <w:multiLevelType w:val="multilevel"/>
    <w:tmpl w:val="4648BFC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680A4E"/>
    <w:multiLevelType w:val="hybridMultilevel"/>
    <w:tmpl w:val="F8569F6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F73043"/>
    <w:multiLevelType w:val="hybridMultilevel"/>
    <w:tmpl w:val="599299C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1"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3" w15:restartNumberingAfterBreak="0">
    <w:nsid w:val="5A180665"/>
    <w:multiLevelType w:val="hybridMultilevel"/>
    <w:tmpl w:val="243A349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5"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4"/>
  </w:num>
  <w:num w:numId="7">
    <w:abstractNumId w:val="12"/>
  </w:num>
  <w:num w:numId="8">
    <w:abstractNumId w:val="3"/>
  </w:num>
  <w:num w:numId="9">
    <w:abstractNumId w:val="15"/>
  </w:num>
  <w:num w:numId="10">
    <w:abstractNumId w:val="5"/>
  </w:num>
  <w:num w:numId="11">
    <w:abstractNumId w:val="27"/>
  </w:num>
  <w:num w:numId="12">
    <w:abstractNumId w:val="1"/>
  </w:num>
  <w:num w:numId="13">
    <w:abstractNumId w:val="17"/>
  </w:num>
  <w:num w:numId="14">
    <w:abstractNumId w:val="4"/>
  </w:num>
  <w:num w:numId="15">
    <w:abstractNumId w:val="0"/>
  </w:num>
  <w:num w:numId="16">
    <w:abstractNumId w:val="10"/>
  </w:num>
  <w:num w:numId="17">
    <w:abstractNumId w:val="21"/>
  </w:num>
  <w:num w:numId="18">
    <w:abstractNumId w:val="8"/>
  </w:num>
  <w:num w:numId="19">
    <w:abstractNumId w:val="13"/>
  </w:num>
  <w:num w:numId="20">
    <w:abstractNumId w:val="26"/>
  </w:num>
  <w:num w:numId="21">
    <w:abstractNumId w:val="16"/>
  </w:num>
  <w:num w:numId="22">
    <w:abstractNumId w:val="22"/>
  </w:num>
  <w:num w:numId="23">
    <w:abstractNumId w:val="25"/>
  </w:num>
  <w:num w:numId="24">
    <w:abstractNumId w:val="20"/>
  </w:num>
  <w:num w:numId="25">
    <w:abstractNumId w:val="28"/>
  </w:num>
  <w:num w:numId="26">
    <w:abstractNumId w:val="19"/>
  </w:num>
  <w:num w:numId="27">
    <w:abstractNumId w:val="3"/>
    <w:lvlOverride w:ilvl="0">
      <w:startOverride w:val="1"/>
    </w:lvlOverride>
  </w:num>
  <w:num w:numId="28">
    <w:abstractNumId w:val="23"/>
  </w:num>
  <w:num w:numId="29">
    <w:abstractNumId w:val="9"/>
  </w:num>
  <w:num w:numId="30">
    <w:abstractNumId w:val="11"/>
  </w:num>
  <w:num w:numId="31">
    <w:abstractNumId w:val="18"/>
  </w:num>
  <w:num w:numId="32">
    <w:abstractNumId w:val="6"/>
  </w:num>
  <w:num w:numId="33">
    <w:abstractNumId w:val="7"/>
  </w:num>
  <w:num w:numId="34">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1370"/>
    <w:rsid w:val="00002E64"/>
    <w:rsid w:val="000046A2"/>
    <w:rsid w:val="00004B16"/>
    <w:rsid w:val="00005612"/>
    <w:rsid w:val="00005955"/>
    <w:rsid w:val="00010552"/>
    <w:rsid w:val="00011BBF"/>
    <w:rsid w:val="00032C27"/>
    <w:rsid w:val="0006497D"/>
    <w:rsid w:val="000768E1"/>
    <w:rsid w:val="00081266"/>
    <w:rsid w:val="0008248A"/>
    <w:rsid w:val="000958D0"/>
    <w:rsid w:val="000A1627"/>
    <w:rsid w:val="000B0551"/>
    <w:rsid w:val="000C7C27"/>
    <w:rsid w:val="000D04B2"/>
    <w:rsid w:val="000E43C4"/>
    <w:rsid w:val="000E65D6"/>
    <w:rsid w:val="000F4D0B"/>
    <w:rsid w:val="000F661E"/>
    <w:rsid w:val="000F7FE2"/>
    <w:rsid w:val="00100595"/>
    <w:rsid w:val="00100744"/>
    <w:rsid w:val="00122165"/>
    <w:rsid w:val="00122B4F"/>
    <w:rsid w:val="001324E1"/>
    <w:rsid w:val="00140BE2"/>
    <w:rsid w:val="00152D37"/>
    <w:rsid w:val="00160A5B"/>
    <w:rsid w:val="00163E5E"/>
    <w:rsid w:val="0017098B"/>
    <w:rsid w:val="00173D25"/>
    <w:rsid w:val="00175656"/>
    <w:rsid w:val="001805F4"/>
    <w:rsid w:val="001815D9"/>
    <w:rsid w:val="001946C2"/>
    <w:rsid w:val="001B2845"/>
    <w:rsid w:val="001B52C7"/>
    <w:rsid w:val="001C28B6"/>
    <w:rsid w:val="001E3129"/>
    <w:rsid w:val="001F403F"/>
    <w:rsid w:val="001F7F3C"/>
    <w:rsid w:val="00213BFD"/>
    <w:rsid w:val="00222518"/>
    <w:rsid w:val="00224C5A"/>
    <w:rsid w:val="00232CA5"/>
    <w:rsid w:val="00245955"/>
    <w:rsid w:val="00250820"/>
    <w:rsid w:val="00251AE5"/>
    <w:rsid w:val="00253D32"/>
    <w:rsid w:val="00283EF7"/>
    <w:rsid w:val="00285314"/>
    <w:rsid w:val="00286AAD"/>
    <w:rsid w:val="00291FAE"/>
    <w:rsid w:val="0029532A"/>
    <w:rsid w:val="002B5A49"/>
    <w:rsid w:val="002B7489"/>
    <w:rsid w:val="002C54C9"/>
    <w:rsid w:val="002D25AF"/>
    <w:rsid w:val="002E2562"/>
    <w:rsid w:val="002F1382"/>
    <w:rsid w:val="003073FA"/>
    <w:rsid w:val="00327261"/>
    <w:rsid w:val="003341F7"/>
    <w:rsid w:val="0033685F"/>
    <w:rsid w:val="00343AFE"/>
    <w:rsid w:val="00345388"/>
    <w:rsid w:val="00345B29"/>
    <w:rsid w:val="00367EA8"/>
    <w:rsid w:val="0037582B"/>
    <w:rsid w:val="003806EA"/>
    <w:rsid w:val="00382627"/>
    <w:rsid w:val="003A3B78"/>
    <w:rsid w:val="003A46BB"/>
    <w:rsid w:val="003B23E0"/>
    <w:rsid w:val="003B285A"/>
    <w:rsid w:val="003C249C"/>
    <w:rsid w:val="0040083C"/>
    <w:rsid w:val="00403142"/>
    <w:rsid w:val="00423FB8"/>
    <w:rsid w:val="0044393F"/>
    <w:rsid w:val="0045182C"/>
    <w:rsid w:val="00463BD3"/>
    <w:rsid w:val="00474E7B"/>
    <w:rsid w:val="00477210"/>
    <w:rsid w:val="00480D07"/>
    <w:rsid w:val="00481D52"/>
    <w:rsid w:val="00482360"/>
    <w:rsid w:val="00491954"/>
    <w:rsid w:val="00493915"/>
    <w:rsid w:val="00496F48"/>
    <w:rsid w:val="004A0F21"/>
    <w:rsid w:val="004C0380"/>
    <w:rsid w:val="004C20AF"/>
    <w:rsid w:val="004C2BAC"/>
    <w:rsid w:val="004D51F6"/>
    <w:rsid w:val="004E4B24"/>
    <w:rsid w:val="004E71CF"/>
    <w:rsid w:val="004F2315"/>
    <w:rsid w:val="0050448C"/>
    <w:rsid w:val="00507EE3"/>
    <w:rsid w:val="00512066"/>
    <w:rsid w:val="00514050"/>
    <w:rsid w:val="00514AB6"/>
    <w:rsid w:val="00517A71"/>
    <w:rsid w:val="00521012"/>
    <w:rsid w:val="0052363A"/>
    <w:rsid w:val="00560C3E"/>
    <w:rsid w:val="0056719F"/>
    <w:rsid w:val="00572163"/>
    <w:rsid w:val="00572586"/>
    <w:rsid w:val="00580CC7"/>
    <w:rsid w:val="00594279"/>
    <w:rsid w:val="005951D9"/>
    <w:rsid w:val="00595702"/>
    <w:rsid w:val="00595D04"/>
    <w:rsid w:val="005A33D4"/>
    <w:rsid w:val="005B1E03"/>
    <w:rsid w:val="005B2578"/>
    <w:rsid w:val="005B2DE0"/>
    <w:rsid w:val="005D4950"/>
    <w:rsid w:val="00605A90"/>
    <w:rsid w:val="0060683A"/>
    <w:rsid w:val="006103C5"/>
    <w:rsid w:val="0061400D"/>
    <w:rsid w:val="006211E8"/>
    <w:rsid w:val="00624C11"/>
    <w:rsid w:val="006261DF"/>
    <w:rsid w:val="0063062F"/>
    <w:rsid w:val="00630E37"/>
    <w:rsid w:val="00633C87"/>
    <w:rsid w:val="0063450C"/>
    <w:rsid w:val="0064442A"/>
    <w:rsid w:val="006474B6"/>
    <w:rsid w:val="00647C2D"/>
    <w:rsid w:val="00675598"/>
    <w:rsid w:val="0068343F"/>
    <w:rsid w:val="00694A76"/>
    <w:rsid w:val="00697E33"/>
    <w:rsid w:val="006A35C8"/>
    <w:rsid w:val="006A6ED1"/>
    <w:rsid w:val="006B7BD7"/>
    <w:rsid w:val="006C300C"/>
    <w:rsid w:val="006D34E9"/>
    <w:rsid w:val="006E00BC"/>
    <w:rsid w:val="006E13F4"/>
    <w:rsid w:val="006E3BBB"/>
    <w:rsid w:val="006E60A1"/>
    <w:rsid w:val="006E6FBD"/>
    <w:rsid w:val="006E7CC5"/>
    <w:rsid w:val="006F6316"/>
    <w:rsid w:val="007045ED"/>
    <w:rsid w:val="00710425"/>
    <w:rsid w:val="00714766"/>
    <w:rsid w:val="007148D4"/>
    <w:rsid w:val="0071511B"/>
    <w:rsid w:val="00715347"/>
    <w:rsid w:val="00715ABB"/>
    <w:rsid w:val="00720EF4"/>
    <w:rsid w:val="00723821"/>
    <w:rsid w:val="00726806"/>
    <w:rsid w:val="007350EC"/>
    <w:rsid w:val="00737019"/>
    <w:rsid w:val="00745A5F"/>
    <w:rsid w:val="00754088"/>
    <w:rsid w:val="00754136"/>
    <w:rsid w:val="007544FE"/>
    <w:rsid w:val="00755F7E"/>
    <w:rsid w:val="0077065C"/>
    <w:rsid w:val="00777DE2"/>
    <w:rsid w:val="00795530"/>
    <w:rsid w:val="00795925"/>
    <w:rsid w:val="007B02D6"/>
    <w:rsid w:val="007B517D"/>
    <w:rsid w:val="007C26C1"/>
    <w:rsid w:val="007C643F"/>
    <w:rsid w:val="007C6A72"/>
    <w:rsid w:val="007D0970"/>
    <w:rsid w:val="00800DD4"/>
    <w:rsid w:val="00804EB9"/>
    <w:rsid w:val="0080608C"/>
    <w:rsid w:val="0081162B"/>
    <w:rsid w:val="00814594"/>
    <w:rsid w:val="0082142B"/>
    <w:rsid w:val="00824A6D"/>
    <w:rsid w:val="00825013"/>
    <w:rsid w:val="00825726"/>
    <w:rsid w:val="0083246C"/>
    <w:rsid w:val="00846346"/>
    <w:rsid w:val="008477EB"/>
    <w:rsid w:val="0085522F"/>
    <w:rsid w:val="00857A06"/>
    <w:rsid w:val="0086191A"/>
    <w:rsid w:val="00865890"/>
    <w:rsid w:val="00886AD8"/>
    <w:rsid w:val="0089312B"/>
    <w:rsid w:val="00893C66"/>
    <w:rsid w:val="008B48C5"/>
    <w:rsid w:val="008B79CC"/>
    <w:rsid w:val="008C1806"/>
    <w:rsid w:val="008D2AA4"/>
    <w:rsid w:val="008D5E91"/>
    <w:rsid w:val="008D6544"/>
    <w:rsid w:val="008F04B3"/>
    <w:rsid w:val="008F4D54"/>
    <w:rsid w:val="00915571"/>
    <w:rsid w:val="009213EA"/>
    <w:rsid w:val="0092727C"/>
    <w:rsid w:val="009303FB"/>
    <w:rsid w:val="00933BF6"/>
    <w:rsid w:val="00937AF4"/>
    <w:rsid w:val="00947BCA"/>
    <w:rsid w:val="00950BEC"/>
    <w:rsid w:val="009531B2"/>
    <w:rsid w:val="00954ADE"/>
    <w:rsid w:val="00956385"/>
    <w:rsid w:val="00956AC2"/>
    <w:rsid w:val="00963CFC"/>
    <w:rsid w:val="0096518F"/>
    <w:rsid w:val="00983A96"/>
    <w:rsid w:val="00993702"/>
    <w:rsid w:val="009A1CA1"/>
    <w:rsid w:val="009A3108"/>
    <w:rsid w:val="009C4542"/>
    <w:rsid w:val="009D1062"/>
    <w:rsid w:val="009E3A67"/>
    <w:rsid w:val="009E5210"/>
    <w:rsid w:val="009F701B"/>
    <w:rsid w:val="00A007D1"/>
    <w:rsid w:val="00A165D6"/>
    <w:rsid w:val="00A20EAB"/>
    <w:rsid w:val="00A26D39"/>
    <w:rsid w:val="00A32251"/>
    <w:rsid w:val="00A3263C"/>
    <w:rsid w:val="00A35871"/>
    <w:rsid w:val="00A370C0"/>
    <w:rsid w:val="00A41257"/>
    <w:rsid w:val="00A4461E"/>
    <w:rsid w:val="00A71757"/>
    <w:rsid w:val="00A73A9C"/>
    <w:rsid w:val="00A81EAC"/>
    <w:rsid w:val="00A9343A"/>
    <w:rsid w:val="00AA4558"/>
    <w:rsid w:val="00AB5CFC"/>
    <w:rsid w:val="00AD1088"/>
    <w:rsid w:val="00AE0859"/>
    <w:rsid w:val="00AE5A3E"/>
    <w:rsid w:val="00AF52E1"/>
    <w:rsid w:val="00B01ECC"/>
    <w:rsid w:val="00B12288"/>
    <w:rsid w:val="00B144EE"/>
    <w:rsid w:val="00B1799A"/>
    <w:rsid w:val="00B23121"/>
    <w:rsid w:val="00B425E5"/>
    <w:rsid w:val="00B42DBD"/>
    <w:rsid w:val="00B52AEE"/>
    <w:rsid w:val="00B55F0B"/>
    <w:rsid w:val="00B6158E"/>
    <w:rsid w:val="00B629EE"/>
    <w:rsid w:val="00B66D17"/>
    <w:rsid w:val="00B6774A"/>
    <w:rsid w:val="00B7238E"/>
    <w:rsid w:val="00B851F5"/>
    <w:rsid w:val="00B90ECF"/>
    <w:rsid w:val="00B92D0B"/>
    <w:rsid w:val="00BA58E7"/>
    <w:rsid w:val="00BB16B5"/>
    <w:rsid w:val="00BB5DF5"/>
    <w:rsid w:val="00BB6548"/>
    <w:rsid w:val="00BC1E61"/>
    <w:rsid w:val="00BD1A7A"/>
    <w:rsid w:val="00BE7315"/>
    <w:rsid w:val="00BF22AE"/>
    <w:rsid w:val="00C13FF8"/>
    <w:rsid w:val="00C17560"/>
    <w:rsid w:val="00C22915"/>
    <w:rsid w:val="00C26682"/>
    <w:rsid w:val="00C3424D"/>
    <w:rsid w:val="00C36DDE"/>
    <w:rsid w:val="00C4635E"/>
    <w:rsid w:val="00C52122"/>
    <w:rsid w:val="00C72D3F"/>
    <w:rsid w:val="00C76509"/>
    <w:rsid w:val="00C76D5A"/>
    <w:rsid w:val="00C905E4"/>
    <w:rsid w:val="00C91C1E"/>
    <w:rsid w:val="00CB2114"/>
    <w:rsid w:val="00CC23FB"/>
    <w:rsid w:val="00CC2F6B"/>
    <w:rsid w:val="00CC60D3"/>
    <w:rsid w:val="00CC73B4"/>
    <w:rsid w:val="00CC78FA"/>
    <w:rsid w:val="00CE3BD4"/>
    <w:rsid w:val="00CE5509"/>
    <w:rsid w:val="00CF26B6"/>
    <w:rsid w:val="00CF5EAC"/>
    <w:rsid w:val="00CF665C"/>
    <w:rsid w:val="00D02482"/>
    <w:rsid w:val="00D2080F"/>
    <w:rsid w:val="00D44CE2"/>
    <w:rsid w:val="00D55886"/>
    <w:rsid w:val="00D56084"/>
    <w:rsid w:val="00D6253B"/>
    <w:rsid w:val="00D65799"/>
    <w:rsid w:val="00D704DC"/>
    <w:rsid w:val="00D708F1"/>
    <w:rsid w:val="00D778D0"/>
    <w:rsid w:val="00D841A5"/>
    <w:rsid w:val="00D84A43"/>
    <w:rsid w:val="00D91DDC"/>
    <w:rsid w:val="00DA2C68"/>
    <w:rsid w:val="00DA2EE1"/>
    <w:rsid w:val="00DC6F18"/>
    <w:rsid w:val="00DF315E"/>
    <w:rsid w:val="00E01A33"/>
    <w:rsid w:val="00E15289"/>
    <w:rsid w:val="00E161E8"/>
    <w:rsid w:val="00E21579"/>
    <w:rsid w:val="00E257C2"/>
    <w:rsid w:val="00E26E4A"/>
    <w:rsid w:val="00E30B3D"/>
    <w:rsid w:val="00E30E4B"/>
    <w:rsid w:val="00E34DA3"/>
    <w:rsid w:val="00E42B0D"/>
    <w:rsid w:val="00E4638B"/>
    <w:rsid w:val="00E53475"/>
    <w:rsid w:val="00E57E2D"/>
    <w:rsid w:val="00E71D4E"/>
    <w:rsid w:val="00E72C37"/>
    <w:rsid w:val="00E75ABF"/>
    <w:rsid w:val="00E76AA6"/>
    <w:rsid w:val="00E76EF6"/>
    <w:rsid w:val="00E77C8F"/>
    <w:rsid w:val="00EA4FB8"/>
    <w:rsid w:val="00EB0EF6"/>
    <w:rsid w:val="00EB385A"/>
    <w:rsid w:val="00EB4DA6"/>
    <w:rsid w:val="00EC714A"/>
    <w:rsid w:val="00ED5BCF"/>
    <w:rsid w:val="00EF0ABF"/>
    <w:rsid w:val="00F02C8A"/>
    <w:rsid w:val="00F1218F"/>
    <w:rsid w:val="00F13A0E"/>
    <w:rsid w:val="00F234E8"/>
    <w:rsid w:val="00F51817"/>
    <w:rsid w:val="00F5438C"/>
    <w:rsid w:val="00F7028C"/>
    <w:rsid w:val="00F76B7D"/>
    <w:rsid w:val="00F85875"/>
    <w:rsid w:val="00F85D7D"/>
    <w:rsid w:val="00FC2696"/>
    <w:rsid w:val="00FC2E5D"/>
    <w:rsid w:val="00FD10EB"/>
    <w:rsid w:val="00FD3495"/>
    <w:rsid w:val="00FD5D3C"/>
    <w:rsid w:val="00FD5FC3"/>
    <w:rsid w:val="00FE6976"/>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0FDF6-80AD-472C-BA9B-51F4B1B2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4E71CF"/>
    <w:rPr>
      <w:rFonts w:ascii="Arial" w:hAnsi="Arial"/>
      <w:sz w:val="22"/>
      <w:lang w:val="en-GB" w:eastAsia="en-US" w:bidi="ar-SA"/>
    </w:rPr>
  </w:style>
  <w:style w:type="character" w:styleId="FollowedHyperlink">
    <w:name w:val="FollowedHyperlink"/>
    <w:basedOn w:val="DefaultParagraphFont"/>
    <w:rsid w:val="00BA58E7"/>
    <w:rPr>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1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EPTF CLL Semaphore, User Guide</vt:lpstr>
    </vt:vector>
  </TitlesOfParts>
  <Company/>
  <LinksUpToDate>false</LinksUpToDate>
  <CharactersWithSpaces>10154</CharactersWithSpaces>
  <SharedDoc>false</SharedDoc>
  <HLinks>
    <vt:vector size="132" baseType="variant">
      <vt:variant>
        <vt:i4>5898334</vt:i4>
      </vt:variant>
      <vt:variant>
        <vt:i4>150</vt:i4>
      </vt:variant>
      <vt:variant>
        <vt:i4>0</vt:i4>
      </vt:variant>
      <vt:variant>
        <vt:i4>5</vt:i4>
      </vt:variant>
      <vt:variant>
        <vt:lpwstr>http://ttcn.ericsson.se/products/libraries.shtml</vt:lpwstr>
      </vt:variant>
      <vt:variant>
        <vt:lpwstr/>
      </vt:variant>
      <vt:variant>
        <vt:i4>1507391</vt:i4>
      </vt:variant>
      <vt:variant>
        <vt:i4>125</vt:i4>
      </vt:variant>
      <vt:variant>
        <vt:i4>0</vt:i4>
      </vt:variant>
      <vt:variant>
        <vt:i4>5</vt:i4>
      </vt:variant>
      <vt:variant>
        <vt:lpwstr/>
      </vt:variant>
      <vt:variant>
        <vt:lpwstr>_Toc211150907</vt:lpwstr>
      </vt:variant>
      <vt:variant>
        <vt:i4>1507391</vt:i4>
      </vt:variant>
      <vt:variant>
        <vt:i4>119</vt:i4>
      </vt:variant>
      <vt:variant>
        <vt:i4>0</vt:i4>
      </vt:variant>
      <vt:variant>
        <vt:i4>5</vt:i4>
      </vt:variant>
      <vt:variant>
        <vt:lpwstr/>
      </vt:variant>
      <vt:variant>
        <vt:lpwstr>_Toc211150906</vt:lpwstr>
      </vt:variant>
      <vt:variant>
        <vt:i4>1507391</vt:i4>
      </vt:variant>
      <vt:variant>
        <vt:i4>113</vt:i4>
      </vt:variant>
      <vt:variant>
        <vt:i4>0</vt:i4>
      </vt:variant>
      <vt:variant>
        <vt:i4>5</vt:i4>
      </vt:variant>
      <vt:variant>
        <vt:lpwstr/>
      </vt:variant>
      <vt:variant>
        <vt:lpwstr>_Toc211150905</vt:lpwstr>
      </vt:variant>
      <vt:variant>
        <vt:i4>1507391</vt:i4>
      </vt:variant>
      <vt:variant>
        <vt:i4>107</vt:i4>
      </vt:variant>
      <vt:variant>
        <vt:i4>0</vt:i4>
      </vt:variant>
      <vt:variant>
        <vt:i4>5</vt:i4>
      </vt:variant>
      <vt:variant>
        <vt:lpwstr/>
      </vt:variant>
      <vt:variant>
        <vt:lpwstr>_Toc211150904</vt:lpwstr>
      </vt:variant>
      <vt:variant>
        <vt:i4>1507391</vt:i4>
      </vt:variant>
      <vt:variant>
        <vt:i4>101</vt:i4>
      </vt:variant>
      <vt:variant>
        <vt:i4>0</vt:i4>
      </vt:variant>
      <vt:variant>
        <vt:i4>5</vt:i4>
      </vt:variant>
      <vt:variant>
        <vt:lpwstr/>
      </vt:variant>
      <vt:variant>
        <vt:lpwstr>_Toc211150903</vt:lpwstr>
      </vt:variant>
      <vt:variant>
        <vt:i4>1507391</vt:i4>
      </vt:variant>
      <vt:variant>
        <vt:i4>95</vt:i4>
      </vt:variant>
      <vt:variant>
        <vt:i4>0</vt:i4>
      </vt:variant>
      <vt:variant>
        <vt:i4>5</vt:i4>
      </vt:variant>
      <vt:variant>
        <vt:lpwstr/>
      </vt:variant>
      <vt:variant>
        <vt:lpwstr>_Toc211150902</vt:lpwstr>
      </vt:variant>
      <vt:variant>
        <vt:i4>1507391</vt:i4>
      </vt:variant>
      <vt:variant>
        <vt:i4>89</vt:i4>
      </vt:variant>
      <vt:variant>
        <vt:i4>0</vt:i4>
      </vt:variant>
      <vt:variant>
        <vt:i4>5</vt:i4>
      </vt:variant>
      <vt:variant>
        <vt:lpwstr/>
      </vt:variant>
      <vt:variant>
        <vt:lpwstr>_Toc211150901</vt:lpwstr>
      </vt:variant>
      <vt:variant>
        <vt:i4>1507391</vt:i4>
      </vt:variant>
      <vt:variant>
        <vt:i4>83</vt:i4>
      </vt:variant>
      <vt:variant>
        <vt:i4>0</vt:i4>
      </vt:variant>
      <vt:variant>
        <vt:i4>5</vt:i4>
      </vt:variant>
      <vt:variant>
        <vt:lpwstr/>
      </vt:variant>
      <vt:variant>
        <vt:lpwstr>_Toc211150900</vt:lpwstr>
      </vt:variant>
      <vt:variant>
        <vt:i4>1966142</vt:i4>
      </vt:variant>
      <vt:variant>
        <vt:i4>77</vt:i4>
      </vt:variant>
      <vt:variant>
        <vt:i4>0</vt:i4>
      </vt:variant>
      <vt:variant>
        <vt:i4>5</vt:i4>
      </vt:variant>
      <vt:variant>
        <vt:lpwstr/>
      </vt:variant>
      <vt:variant>
        <vt:lpwstr>_Toc211150899</vt:lpwstr>
      </vt:variant>
      <vt:variant>
        <vt:i4>1966142</vt:i4>
      </vt:variant>
      <vt:variant>
        <vt:i4>71</vt:i4>
      </vt:variant>
      <vt:variant>
        <vt:i4>0</vt:i4>
      </vt:variant>
      <vt:variant>
        <vt:i4>5</vt:i4>
      </vt:variant>
      <vt:variant>
        <vt:lpwstr/>
      </vt:variant>
      <vt:variant>
        <vt:lpwstr>_Toc211150898</vt:lpwstr>
      </vt:variant>
      <vt:variant>
        <vt:i4>1966142</vt:i4>
      </vt:variant>
      <vt:variant>
        <vt:i4>65</vt:i4>
      </vt:variant>
      <vt:variant>
        <vt:i4>0</vt:i4>
      </vt:variant>
      <vt:variant>
        <vt:i4>5</vt:i4>
      </vt:variant>
      <vt:variant>
        <vt:lpwstr/>
      </vt:variant>
      <vt:variant>
        <vt:lpwstr>_Toc211150897</vt:lpwstr>
      </vt:variant>
      <vt:variant>
        <vt:i4>1966142</vt:i4>
      </vt:variant>
      <vt:variant>
        <vt:i4>59</vt:i4>
      </vt:variant>
      <vt:variant>
        <vt:i4>0</vt:i4>
      </vt:variant>
      <vt:variant>
        <vt:i4>5</vt:i4>
      </vt:variant>
      <vt:variant>
        <vt:lpwstr/>
      </vt:variant>
      <vt:variant>
        <vt:lpwstr>_Toc211150896</vt:lpwstr>
      </vt:variant>
      <vt:variant>
        <vt:i4>1966142</vt:i4>
      </vt:variant>
      <vt:variant>
        <vt:i4>53</vt:i4>
      </vt:variant>
      <vt:variant>
        <vt:i4>0</vt:i4>
      </vt:variant>
      <vt:variant>
        <vt:i4>5</vt:i4>
      </vt:variant>
      <vt:variant>
        <vt:lpwstr/>
      </vt:variant>
      <vt:variant>
        <vt:lpwstr>_Toc211150895</vt:lpwstr>
      </vt:variant>
      <vt:variant>
        <vt:i4>1966142</vt:i4>
      </vt:variant>
      <vt:variant>
        <vt:i4>47</vt:i4>
      </vt:variant>
      <vt:variant>
        <vt:i4>0</vt:i4>
      </vt:variant>
      <vt:variant>
        <vt:i4>5</vt:i4>
      </vt:variant>
      <vt:variant>
        <vt:lpwstr/>
      </vt:variant>
      <vt:variant>
        <vt:lpwstr>_Toc211150894</vt:lpwstr>
      </vt:variant>
      <vt:variant>
        <vt:i4>1966142</vt:i4>
      </vt:variant>
      <vt:variant>
        <vt:i4>41</vt:i4>
      </vt:variant>
      <vt:variant>
        <vt:i4>0</vt:i4>
      </vt:variant>
      <vt:variant>
        <vt:i4>5</vt:i4>
      </vt:variant>
      <vt:variant>
        <vt:lpwstr/>
      </vt:variant>
      <vt:variant>
        <vt:lpwstr>_Toc211150893</vt:lpwstr>
      </vt:variant>
      <vt:variant>
        <vt:i4>1966142</vt:i4>
      </vt:variant>
      <vt:variant>
        <vt:i4>35</vt:i4>
      </vt:variant>
      <vt:variant>
        <vt:i4>0</vt:i4>
      </vt:variant>
      <vt:variant>
        <vt:i4>5</vt:i4>
      </vt:variant>
      <vt:variant>
        <vt:lpwstr/>
      </vt:variant>
      <vt:variant>
        <vt:lpwstr>_Toc211150892</vt:lpwstr>
      </vt:variant>
      <vt:variant>
        <vt:i4>1966142</vt:i4>
      </vt:variant>
      <vt:variant>
        <vt:i4>29</vt:i4>
      </vt:variant>
      <vt:variant>
        <vt:i4>0</vt:i4>
      </vt:variant>
      <vt:variant>
        <vt:i4>5</vt:i4>
      </vt:variant>
      <vt:variant>
        <vt:lpwstr/>
      </vt:variant>
      <vt:variant>
        <vt:lpwstr>_Toc211150891</vt:lpwstr>
      </vt:variant>
      <vt:variant>
        <vt:i4>1966142</vt:i4>
      </vt:variant>
      <vt:variant>
        <vt:i4>23</vt:i4>
      </vt:variant>
      <vt:variant>
        <vt:i4>0</vt:i4>
      </vt:variant>
      <vt:variant>
        <vt:i4>5</vt:i4>
      </vt:variant>
      <vt:variant>
        <vt:lpwstr/>
      </vt:variant>
      <vt:variant>
        <vt:lpwstr>_Toc211150890</vt:lpwstr>
      </vt:variant>
      <vt:variant>
        <vt:i4>2031678</vt:i4>
      </vt:variant>
      <vt:variant>
        <vt:i4>17</vt:i4>
      </vt:variant>
      <vt:variant>
        <vt:i4>0</vt:i4>
      </vt:variant>
      <vt:variant>
        <vt:i4>5</vt:i4>
      </vt:variant>
      <vt:variant>
        <vt:lpwstr/>
      </vt:variant>
      <vt:variant>
        <vt:lpwstr>_Toc211150889</vt:lpwstr>
      </vt:variant>
      <vt:variant>
        <vt:i4>2031678</vt:i4>
      </vt:variant>
      <vt:variant>
        <vt:i4>11</vt:i4>
      </vt:variant>
      <vt:variant>
        <vt:i4>0</vt:i4>
      </vt:variant>
      <vt:variant>
        <vt:i4>5</vt:i4>
      </vt:variant>
      <vt:variant>
        <vt:lpwstr/>
      </vt:variant>
      <vt:variant>
        <vt:lpwstr>_Toc211150888</vt:lpwstr>
      </vt:variant>
      <vt:variant>
        <vt:i4>2031678</vt:i4>
      </vt:variant>
      <vt:variant>
        <vt:i4>5</vt:i4>
      </vt:variant>
      <vt:variant>
        <vt:i4>0</vt:i4>
      </vt:variant>
      <vt:variant>
        <vt:i4>5</vt:i4>
      </vt:variant>
      <vt:variant>
        <vt:lpwstr/>
      </vt:variant>
      <vt:variant>
        <vt:lpwstr>_Toc211150887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Semaphore, User Guide</dc:title>
  <dc:subject/>
  <dc:creator>ETH/RZD József Gyürüsi (+36 1 437 7519)</dc:creator>
  <cp:keywords>Users Guide, User's Guide, User Guide, TTCN-3, TTCNv3, TTCN3, EPTF</cp:keywords>
  <dc:description>22/198 17-CNL 113 512 Uen_x000d_Rev A</dc:description>
  <cp:lastModifiedBy>Imre Nagy</cp:lastModifiedBy>
  <cp:revision>2</cp:revision>
  <cp:lastPrinted>2007-11-29T12:30:00Z</cp:lastPrinted>
  <dcterms:created xsi:type="dcterms:W3CDTF">2018-06-21T12:15:00Z</dcterms:created>
  <dcterms:modified xsi:type="dcterms:W3CDTF">2018-06-21T12:15:00Z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ETH/RZD József Gyürüsi (+36 1 437 7519)</vt:lpwstr>
  </property>
  <property fmtid="{D5CDD505-2E9C-101B-9397-08002B2CF9AE}" pid="5" name="DocNo">
    <vt:lpwstr>22/198 17-CNL 113 512 Uen</vt:lpwstr>
  </property>
  <property fmtid="{D5CDD505-2E9C-101B-9397-08002B2CF9AE}" pid="6" name="Revision">
    <vt:lpwstr>A</vt:lpwstr>
  </property>
  <property fmtid="{D5CDD505-2E9C-101B-9397-08002B2CF9AE}" pid="7" name="Checked">
    <vt:lpwstr/>
  </property>
  <property fmtid="{D5CDD505-2E9C-101B-9397-08002B2CF9AE}" pid="8" name="Title">
    <vt:lpwstr>EPTF CLL Semaphore, User Guide</vt:lpwstr>
  </property>
  <property fmtid="{D5CDD505-2E9C-101B-9397-08002B2CF9AE}" pid="9" name="Reference">
    <vt:lpwstr>GASK2</vt:lpwstr>
  </property>
  <property fmtid="{D5CDD505-2E9C-101B-9397-08002B2CF9AE}" pid="10" name="Date">
    <vt:lpwstr>2007-12-06</vt:lpwstr>
  </property>
  <property fmtid="{D5CDD505-2E9C-101B-9397-08002B2CF9AE}" pid="11" name="Keyword">
    <vt:lpwstr>Users Guide, User's Guide, User Guide, TTCN-3, TTCNv3, TTCN3, EPTF</vt:lpwstr>
  </property>
  <property fmtid="{D5CDD505-2E9C-101B-9397-08002B2CF9AE}" pid="12" name="ApprovedBy">
    <vt:lpwstr>ETH/RZDC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