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:rsidRPr="00B12E45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Pr="00B12E45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Pr="00B12E45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Pr="00B12E45" w:rsidRDefault="005326BC">
      <w:pPr>
        <w:pStyle w:val="TableStyle"/>
      </w:pPr>
    </w:p>
    <w:p w:rsidR="005326BC" w:rsidRPr="00B12E45" w:rsidRDefault="005326BC">
      <w:pPr>
        <w:pStyle w:val="BodyText"/>
      </w:pPr>
    </w:p>
    <w:p w:rsidR="005326BC" w:rsidRPr="00B12E45" w:rsidRDefault="005326BC">
      <w:pPr>
        <w:pStyle w:val="BodyText"/>
      </w:pPr>
    </w:p>
    <w:p w:rsidR="005326BC" w:rsidRPr="00B12E45" w:rsidRDefault="005326BC">
      <w:pPr>
        <w:pStyle w:val="BodyText"/>
      </w:pPr>
    </w:p>
    <w:bookmarkStart w:id="3" w:name="Title"/>
    <w:p w:rsidR="005326BC" w:rsidRPr="00B12E45" w:rsidRDefault="005326BC" w:rsidP="00FA4412">
      <w:pPr>
        <w:pStyle w:val="Title"/>
        <w:numPr>
          <w:ilvl w:val="0"/>
          <w:numId w:val="0"/>
        </w:numPr>
        <w:ind w:left="2552"/>
        <w:outlineLvl w:val="0"/>
      </w:pPr>
      <w:r w:rsidRPr="00B12E45">
        <w:fldChar w:fldCharType="begin"/>
      </w:r>
      <w:r w:rsidRPr="00B12E45">
        <w:instrText xml:space="preserve"> DOCPROPERTY "Title" \* MERGEFORMAT </w:instrText>
      </w:r>
      <w:r w:rsidRPr="00B12E45">
        <w:fldChar w:fldCharType="separate"/>
      </w:r>
      <w:r w:rsidR="00143D51">
        <w:t>EPTF CLL Statistics Manager, Function Description</w:t>
      </w:r>
      <w:r w:rsidRPr="00B12E45">
        <w:fldChar w:fldCharType="end"/>
      </w:r>
      <w:bookmarkEnd w:id="3"/>
    </w:p>
    <w:p w:rsidR="005763A5" w:rsidRPr="00B12E45" w:rsidRDefault="005763A5" w:rsidP="005763A5">
      <w:pPr>
        <w:pStyle w:val="Contents"/>
        <w:tabs>
          <w:tab w:val="right" w:leader="dot" w:pos="10205"/>
        </w:tabs>
      </w:pPr>
    </w:p>
    <w:p w:rsidR="005763A5" w:rsidRPr="00B12E45" w:rsidRDefault="005763A5" w:rsidP="005763A5">
      <w:pPr>
        <w:pStyle w:val="Text"/>
      </w:pPr>
    </w:p>
    <w:p w:rsidR="00143D51" w:rsidRDefault="0025547F" w:rsidP="0025547F">
      <w:pPr>
        <w:pStyle w:val="Contents"/>
        <w:tabs>
          <w:tab w:val="left" w:pos="3969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45" w:history="1">
        <w:r w:rsidRPr="007B2D28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_Toc335038245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46" w:history="1">
        <w:r w:rsidRPr="007B2D28">
          <w:rPr>
            <w:rStyle w:val="Hyperlink"/>
          </w:rPr>
          <w:t>1.2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_Toc335038246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47" w:history="1">
        <w:r w:rsidRPr="007B2D28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_Toc335038247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48" w:history="1">
        <w:r w:rsidRPr="007B2D28">
          <w:rPr>
            <w:rStyle w:val="Hyperlink"/>
          </w:rPr>
          <w:t>1.4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_Toc335038248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49" w:history="1">
        <w:r w:rsidRPr="007B2D28">
          <w:rPr>
            <w:rStyle w:val="Hyperlink"/>
          </w:rPr>
          <w:t>1.5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_Toc335038249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0" w:history="1">
        <w:r w:rsidRPr="007B2D28">
          <w:rPr>
            <w:rStyle w:val="Hyperlink"/>
          </w:rPr>
          <w:t>1.6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_Toc335038250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1" w:history="1">
        <w:r w:rsidRPr="007B2D28">
          <w:rPr>
            <w:rStyle w:val="Hyperlink"/>
          </w:rPr>
          <w:t>1.7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_Toc335038251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2" w:history="1">
        <w:r w:rsidRPr="007B2D28">
          <w:rPr>
            <w:rStyle w:val="Hyperlink"/>
          </w:rPr>
          <w:t>1.8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_Toc335038252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43D51" w:rsidRDefault="00143D51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35038253" w:history="1">
        <w:r w:rsidRPr="007B2D28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7B2D28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_Toc335038253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4" w:history="1">
        <w:r w:rsidRPr="007B2D28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Detailed description</w:t>
        </w:r>
        <w:r>
          <w:tab/>
        </w:r>
        <w:r>
          <w:fldChar w:fldCharType="begin"/>
        </w:r>
        <w:r>
          <w:instrText xml:space="preserve"> PAGEREF _Toc335038254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43D51" w:rsidRDefault="00143D51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5" w:history="1">
        <w:r w:rsidRPr="007B2D28">
          <w:rPr>
            <w:rStyle w:val="Hyperlink"/>
          </w:rPr>
          <w:t>2.1.1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The source data</w:t>
        </w:r>
        <w:r>
          <w:tab/>
        </w:r>
        <w:r>
          <w:fldChar w:fldCharType="begin"/>
        </w:r>
        <w:r>
          <w:instrText xml:space="preserve"> PAGEREF _Toc335038255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43D51" w:rsidRDefault="00143D51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6" w:history="1">
        <w:r w:rsidRPr="007B2D28">
          <w:rPr>
            <w:rStyle w:val="Hyperlink"/>
          </w:rPr>
          <w:t>2.1.2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Reference data</w:t>
        </w:r>
        <w:r>
          <w:tab/>
        </w:r>
        <w:r>
          <w:fldChar w:fldCharType="begin"/>
        </w:r>
        <w:r>
          <w:instrText xml:space="preserve"> PAGEREF _Toc335038256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43D51" w:rsidRDefault="00143D51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7" w:history="1">
        <w:r w:rsidRPr="007B2D28">
          <w:rPr>
            <w:rStyle w:val="Hyperlink"/>
          </w:rPr>
          <w:t>2.1.3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The limit parameters</w:t>
        </w:r>
        <w:r>
          <w:tab/>
        </w:r>
        <w:r>
          <w:fldChar w:fldCharType="begin"/>
        </w:r>
        <w:r>
          <w:instrText xml:space="preserve"> PAGEREF _Toc335038257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43D51" w:rsidRDefault="00143D51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8" w:history="1">
        <w:r w:rsidRPr="007B2D28">
          <w:rPr>
            <w:rStyle w:val="Hyperlink"/>
          </w:rPr>
          <w:t>2.1.4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Default color</w:t>
        </w:r>
        <w:r>
          <w:tab/>
        </w:r>
        <w:r>
          <w:fldChar w:fldCharType="begin"/>
        </w:r>
        <w:r>
          <w:instrText xml:space="preserve"> PAGEREF _Toc335038258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43D51" w:rsidRDefault="00143D51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59" w:history="1">
        <w:r w:rsidRPr="007B2D28">
          <w:rPr>
            <w:rStyle w:val="Hyperlink"/>
          </w:rPr>
          <w:t>2.1.5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EnableValueInLEDText</w:t>
        </w:r>
        <w:r>
          <w:tab/>
        </w:r>
        <w:r>
          <w:fldChar w:fldCharType="begin"/>
        </w:r>
        <w:r>
          <w:instrText xml:space="preserve"> PAGEREF _Toc335038259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43D51" w:rsidRDefault="00143D51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35038260" w:history="1">
        <w:r w:rsidRPr="007B2D28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7B2D28">
          <w:rPr>
            <w:rStyle w:val="Hyperlink"/>
          </w:rPr>
          <w:t>General usage</w:t>
        </w:r>
        <w:r>
          <w:tab/>
        </w:r>
        <w:r>
          <w:fldChar w:fldCharType="begin"/>
        </w:r>
        <w:r>
          <w:instrText xml:space="preserve"> PAGEREF _Toc335038260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43D51" w:rsidRDefault="00143D51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35038261" w:history="1">
        <w:r w:rsidRPr="007B2D28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7B2D28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_Toc335038261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62" w:history="1">
        <w:r w:rsidRPr="007B2D28">
          <w:rPr>
            <w:rStyle w:val="Hyperlink"/>
          </w:rPr>
          <w:t>4.1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_Toc335038262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43D51" w:rsidRDefault="00143D51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63" w:history="1">
        <w:r w:rsidRPr="007B2D28">
          <w:rPr>
            <w:rStyle w:val="Hyperlink"/>
          </w:rPr>
          <w:t>4.2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General Public Functions</w:t>
        </w:r>
        <w:r>
          <w:tab/>
        </w:r>
        <w:r>
          <w:fldChar w:fldCharType="begin"/>
        </w:r>
        <w:r>
          <w:instrText xml:space="preserve"> PAGEREF _Toc335038263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43D51" w:rsidRDefault="00143D51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35038264" w:history="1">
        <w:r w:rsidRPr="007B2D28">
          <w:rPr>
            <w:rStyle w:val="Hyperlink"/>
          </w:rPr>
          <w:t>4.2.1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7B2D28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_Toc335038264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763A5" w:rsidRPr="00B12E45" w:rsidRDefault="0025547F" w:rsidP="0025547F">
      <w:pPr>
        <w:pStyle w:val="Contents"/>
        <w:tabs>
          <w:tab w:val="right" w:leader="dot" w:pos="10205"/>
        </w:tabs>
      </w:pPr>
      <w:r>
        <w:fldChar w:fldCharType="end"/>
      </w:r>
      <w:r w:rsidR="005763A5" w:rsidRPr="00B12E45">
        <w:br w:type="page"/>
      </w:r>
      <w:bookmarkStart w:id="5" w:name="_Toc54171477"/>
      <w:bookmarkStart w:id="6" w:name="_Toc54429235"/>
      <w:bookmarkStart w:id="7" w:name="_Toc63061699"/>
      <w:bookmarkStart w:id="8" w:name="_Toc187641161"/>
      <w:r w:rsidR="005763A5" w:rsidRPr="00B12E45">
        <w:lastRenderedPageBreak/>
        <w:t>Introduction</w:t>
      </w:r>
      <w:bookmarkEnd w:id="7"/>
      <w:bookmarkEnd w:id="8"/>
    </w:p>
    <w:p w:rsidR="005763A5" w:rsidRPr="00B12E4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187641162"/>
      <w:bookmarkStart w:id="11" w:name="_Toc335038245"/>
      <w:r w:rsidRPr="00B12E45">
        <w:t>Revision history</w:t>
      </w:r>
      <w:bookmarkEnd w:id="5"/>
      <w:bookmarkEnd w:id="6"/>
      <w:bookmarkEnd w:id="9"/>
      <w:bookmarkEnd w:id="10"/>
      <w:bookmarkEnd w:id="11"/>
    </w:p>
    <w:p w:rsidR="005763A5" w:rsidRPr="00B12E45" w:rsidRDefault="005763A5" w:rsidP="005763A5">
      <w:pPr>
        <w:pStyle w:val="BodyText"/>
      </w:pPr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498"/>
        <w:gridCol w:w="1746"/>
      </w:tblGrid>
      <w:tr w:rsidR="005763A5" w:rsidRPr="00B12E45" w:rsidTr="0024096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Rev</w:t>
            </w:r>
          </w:p>
        </w:tc>
        <w:tc>
          <w:tcPr>
            <w:tcW w:w="3498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746" w:type="dxa"/>
            <w:shd w:val="clear" w:color="auto" w:fill="B3B3B3"/>
          </w:tcPr>
          <w:p w:rsidR="005763A5" w:rsidRPr="00B12E45" w:rsidRDefault="005763A5" w:rsidP="00390F40">
            <w:pPr>
              <w:jc w:val="center"/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Prepared</w:t>
            </w:r>
          </w:p>
        </w:tc>
      </w:tr>
      <w:tr w:rsidR="005763A5" w:rsidRPr="00B12E45" w:rsidTr="0024096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B5D5F" w:rsidRPr="00B12E45" w:rsidRDefault="008104D9" w:rsidP="00BB5D5F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20</w:t>
            </w:r>
            <w:r w:rsidR="004874BD">
              <w:rPr>
                <w:snapToGrid w:val="0"/>
                <w:lang w:val="en-US"/>
              </w:rPr>
              <w:t>12</w:t>
            </w:r>
            <w:r w:rsidRPr="00B12E45">
              <w:rPr>
                <w:snapToGrid w:val="0"/>
                <w:lang w:val="en-US"/>
              </w:rPr>
              <w:t>-</w:t>
            </w:r>
            <w:r w:rsidR="004874BD">
              <w:rPr>
                <w:snapToGrid w:val="0"/>
                <w:lang w:val="en-US"/>
              </w:rPr>
              <w:t>05</w:t>
            </w:r>
            <w:r w:rsidR="00B13D40" w:rsidRPr="00B12E45">
              <w:rPr>
                <w:snapToGrid w:val="0"/>
                <w:lang w:val="en-US"/>
              </w:rPr>
              <w:t>-2</w:t>
            </w:r>
            <w:r w:rsidR="004874BD">
              <w:rPr>
                <w:snapToGrid w:val="0"/>
                <w:lang w:val="en-US"/>
              </w:rPr>
              <w:t>5</w:t>
            </w:r>
          </w:p>
        </w:tc>
        <w:tc>
          <w:tcPr>
            <w:tcW w:w="993" w:type="dxa"/>
          </w:tcPr>
          <w:p w:rsidR="005763A5" w:rsidRPr="00B12E45" w:rsidRDefault="005763A5" w:rsidP="00390F40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PA1</w:t>
            </w:r>
          </w:p>
        </w:tc>
        <w:tc>
          <w:tcPr>
            <w:tcW w:w="3498" w:type="dxa"/>
          </w:tcPr>
          <w:p w:rsidR="005763A5" w:rsidRPr="00B12E45" w:rsidRDefault="005763A5" w:rsidP="00390F40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746" w:type="dxa"/>
          </w:tcPr>
          <w:p w:rsidR="005763A5" w:rsidRPr="00B12E45" w:rsidRDefault="003258F7" w:rsidP="00390F40">
            <w:pPr>
              <w:rPr>
                <w:snapToGrid w:val="0"/>
                <w:lang w:val="en-US"/>
              </w:rPr>
            </w:pPr>
            <w:r w:rsidRPr="00B12E45">
              <w:rPr>
                <w:snapToGrid w:val="0"/>
                <w:lang w:val="en-US"/>
              </w:rPr>
              <w:t>&lt;</w:t>
            </w:r>
            <w:r w:rsidR="0024096C" w:rsidRPr="00B12E45">
              <w:rPr>
                <w:snapToGrid w:val="0"/>
                <w:lang w:val="en-US"/>
              </w:rPr>
              <w:t>E</w:t>
            </w:r>
            <w:r w:rsidR="004874BD">
              <w:rPr>
                <w:snapToGrid w:val="0"/>
                <w:lang w:val="en-US"/>
              </w:rPr>
              <w:t>BALLUG</w:t>
            </w:r>
            <w:r w:rsidRPr="00B12E45">
              <w:rPr>
                <w:snapToGrid w:val="0"/>
                <w:lang w:val="en-US"/>
              </w:rPr>
              <w:t>&gt;</w:t>
            </w:r>
          </w:p>
        </w:tc>
      </w:tr>
    </w:tbl>
    <w:p w:rsidR="005763A5" w:rsidRPr="00B12E4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2" w:name="_Toc55708645"/>
      <w:bookmarkStart w:id="13" w:name="_Toc63061701"/>
      <w:bookmarkStart w:id="14" w:name="_Toc187641163"/>
      <w:bookmarkStart w:id="15" w:name="_Toc335038246"/>
      <w:r w:rsidRPr="00B12E45">
        <w:t>How to Read this Document</w:t>
      </w:r>
      <w:bookmarkEnd w:id="12"/>
      <w:bookmarkEnd w:id="13"/>
      <w:bookmarkEnd w:id="14"/>
      <w:bookmarkEnd w:id="15"/>
    </w:p>
    <w:p w:rsidR="005763A5" w:rsidRPr="00B12E45" w:rsidRDefault="005763A5" w:rsidP="007807CA">
      <w:pPr>
        <w:pStyle w:val="BodyText"/>
      </w:pPr>
      <w:r w:rsidRPr="00B12E45">
        <w:t xml:space="preserve">This is the Function </w:t>
      </w:r>
      <w:r w:rsidR="005B1767" w:rsidRPr="00B12E45">
        <w:t>Description</w:t>
      </w:r>
      <w:r w:rsidRPr="00B12E45">
        <w:t xml:space="preserve"> for the</w:t>
      </w:r>
      <w:r w:rsidR="005B1767" w:rsidRPr="00B12E45">
        <w:t xml:space="preserve"> </w:t>
      </w:r>
      <w:r w:rsidR="0024096C" w:rsidRPr="00B12E45">
        <w:t xml:space="preserve">Statistics </w:t>
      </w:r>
      <w:r w:rsidR="00532B48" w:rsidRPr="00B12E45">
        <w:t>M</w:t>
      </w:r>
      <w:r w:rsidR="004F66E3">
        <w:t>anager</w:t>
      </w:r>
      <w:r w:rsidR="00532B48" w:rsidRPr="00B12E45">
        <w:t xml:space="preserve"> Feature</w:t>
      </w:r>
      <w:r w:rsidR="0024096C" w:rsidRPr="00B12E45">
        <w:rPr>
          <w:color w:val="0000FF"/>
        </w:rPr>
        <w:t xml:space="preserve"> </w:t>
      </w:r>
      <w:r w:rsidR="005B1767" w:rsidRPr="00B12E45">
        <w:t>of the</w:t>
      </w:r>
      <w:r w:rsidR="007635F2" w:rsidRPr="00B12E45">
        <w:t xml:space="preserve"> </w:t>
      </w:r>
      <w:r w:rsidRPr="00B12E45">
        <w:t>Ericsson Performance Test Framework (</w:t>
      </w:r>
      <w:r w:rsidR="00581C02" w:rsidRPr="00B12E45">
        <w:t>TitanSim</w:t>
      </w:r>
      <w:r w:rsidRPr="00B12E45">
        <w:t xml:space="preserve">), Core Load Library (CLL). </w:t>
      </w:r>
      <w:r w:rsidR="00581C02" w:rsidRPr="00B12E45">
        <w:t>TitanSim</w:t>
      </w:r>
      <w:r w:rsidR="00BD3346" w:rsidRPr="00B12E45">
        <w:t xml:space="preserve"> CLL</w:t>
      </w:r>
      <w:r w:rsidRPr="00B12E45">
        <w:t xml:space="preserve"> is developed for the TTCN-3</w:t>
      </w:r>
      <w:r w:rsidR="00581C02" w:rsidRPr="00B12E45">
        <w:t xml:space="preserve"> </w:t>
      </w:r>
      <w:r w:rsidR="00581C02" w:rsidRPr="00B12E45">
        <w:fldChar w:fldCharType="begin"/>
      </w:r>
      <w:r w:rsidR="00581C02" w:rsidRPr="00B12E45">
        <w:instrText xml:space="preserve"> REF _Ref45513518 \r \h </w:instrText>
      </w:r>
      <w:r w:rsidR="00581C02" w:rsidRPr="00B12E45">
        <w:fldChar w:fldCharType="separate"/>
      </w:r>
      <w:r w:rsidR="008C36AF">
        <w:rPr>
          <w:cs/>
        </w:rPr>
        <w:t>‎</w:t>
      </w:r>
      <w:r w:rsidR="008C36AF">
        <w:t>[1]</w:t>
      </w:r>
      <w:r w:rsidR="00581C02" w:rsidRPr="00B12E45">
        <w:fldChar w:fldCharType="end"/>
      </w:r>
      <w:r w:rsidRPr="00B12E45">
        <w:t xml:space="preserve"> Toolset with TITA</w:t>
      </w:r>
      <w:r w:rsidR="004C5496" w:rsidRPr="00B12E45">
        <w:t xml:space="preserve">N </w:t>
      </w:r>
      <w:r w:rsidR="004C5496" w:rsidRPr="00B12E45">
        <w:fldChar w:fldCharType="begin"/>
      </w:r>
      <w:r w:rsidR="004C5496" w:rsidRPr="00B12E45">
        <w:instrText xml:space="preserve"> REF _Ref182888820 \r \h </w:instrText>
      </w:r>
      <w:r w:rsidR="004C5496" w:rsidRPr="00B12E45">
        <w:fldChar w:fldCharType="separate"/>
      </w:r>
      <w:r w:rsidR="008C36AF">
        <w:rPr>
          <w:cs/>
        </w:rPr>
        <w:t>‎</w:t>
      </w:r>
      <w:r w:rsidR="008C36AF">
        <w:t>[2]</w:t>
      </w:r>
      <w:r w:rsidR="004C5496" w:rsidRPr="00B12E45">
        <w:fldChar w:fldCharType="end"/>
      </w:r>
      <w:r w:rsidRPr="00B12E45">
        <w:t>.</w:t>
      </w:r>
      <w:r w:rsidR="0074533E" w:rsidRPr="00B12E45">
        <w:t xml:space="preserve"> For more </w:t>
      </w:r>
      <w:r w:rsidR="00C92147">
        <w:t>informatio</w:t>
      </w:r>
      <w:r w:rsidR="0074533E" w:rsidRPr="00B12E45">
        <w:t xml:space="preserve">n on the </w:t>
      </w:r>
      <w:r w:rsidR="00581C02" w:rsidRPr="00B12E45">
        <w:t>TitanSim</w:t>
      </w:r>
      <w:r w:rsidR="0074533E" w:rsidRPr="00B12E45">
        <w:t xml:space="preserve"> CLL please consult the</w:t>
      </w:r>
      <w:r w:rsidRPr="00B12E45">
        <w:t xml:space="preserve"> Product Revision Informatio</w:t>
      </w:r>
      <w:r w:rsidR="004C5496" w:rsidRPr="00B12E45">
        <w:t xml:space="preserve">n </w:t>
      </w:r>
      <w:r w:rsidR="004C5496" w:rsidRPr="00B12E45">
        <w:fldChar w:fldCharType="begin"/>
      </w:r>
      <w:r w:rsidR="004C5496" w:rsidRPr="00B12E45">
        <w:instrText xml:space="preserve"> REF _Ref182888887 \r \h </w:instrText>
      </w:r>
      <w:r w:rsidR="004C5496" w:rsidRPr="00B12E45">
        <w:fldChar w:fldCharType="separate"/>
      </w:r>
      <w:r w:rsidR="008C36AF">
        <w:rPr>
          <w:cs/>
        </w:rPr>
        <w:t>‎</w:t>
      </w:r>
      <w:r w:rsidR="008C36AF">
        <w:t>[3]</w:t>
      </w:r>
      <w:r w:rsidR="004C5496" w:rsidRPr="00B12E45">
        <w:fldChar w:fldCharType="end"/>
      </w:r>
      <w:r w:rsidR="00D3095A" w:rsidRPr="00B12E45">
        <w:t>.</w:t>
      </w:r>
      <w:r w:rsidR="00BB5D5F" w:rsidRPr="00B12E45">
        <w:t xml:space="preserve"> Additionally, to understand the functionality of this feature, read the documentation of the </w:t>
      </w:r>
      <w:r w:rsidR="004F66E3">
        <w:t>StatMeasure</w:t>
      </w:r>
      <w:r w:rsidR="00971286" w:rsidRPr="00B12E45">
        <w:t xml:space="preserve"> </w:t>
      </w:r>
      <w:r w:rsidR="00971286" w:rsidRPr="00B12E45">
        <w:fldChar w:fldCharType="begin"/>
      </w:r>
      <w:r w:rsidR="00971286" w:rsidRPr="00B12E45">
        <w:instrText xml:space="preserve"> REF _Ref183597965 \r \h </w:instrText>
      </w:r>
      <w:r w:rsidR="00971286" w:rsidRPr="00B12E45">
        <w:fldChar w:fldCharType="separate"/>
      </w:r>
      <w:r w:rsidR="008C36AF">
        <w:rPr>
          <w:cs/>
        </w:rPr>
        <w:t>‎</w:t>
      </w:r>
      <w:r w:rsidR="008C36AF">
        <w:t>[6]</w:t>
      </w:r>
      <w:r w:rsidR="00971286" w:rsidRPr="00B12E45">
        <w:fldChar w:fldCharType="end"/>
      </w:r>
      <w:r w:rsidR="00971286" w:rsidRPr="00B12E45">
        <w:t xml:space="preserve">  </w:t>
      </w:r>
      <w:r w:rsidR="00BB5D5F" w:rsidRPr="00B12E45">
        <w:t>feature.</w:t>
      </w:r>
    </w:p>
    <w:p w:rsidR="00060249" w:rsidRPr="00B12E45" w:rsidRDefault="00060249" w:rsidP="00070FBB">
      <w:pPr>
        <w:pStyle w:val="Heading2"/>
      </w:pPr>
      <w:bookmarkStart w:id="16" w:name="ref_wiki_EPTF_API"/>
      <w:bookmarkStart w:id="17" w:name="_Toc187641164"/>
      <w:bookmarkStart w:id="18" w:name="_Toc335038247"/>
      <w:r w:rsidRPr="00B12E45">
        <w:t>References</w:t>
      </w:r>
      <w:bookmarkEnd w:id="17"/>
      <w:bookmarkEnd w:id="18"/>
      <w:r w:rsidR="00A864DF" w:rsidRPr="00B12E45">
        <w:t xml:space="preserve"> </w:t>
      </w:r>
    </w:p>
    <w:p w:rsidR="00060249" w:rsidRPr="00B12E45" w:rsidRDefault="00F54DC7" w:rsidP="008D3A4D">
      <w:pPr>
        <w:pStyle w:val="List"/>
      </w:pPr>
      <w:bookmarkStart w:id="19" w:name="_Ref55708574"/>
      <w:bookmarkStart w:id="20" w:name="_Ref45513518"/>
      <w:r w:rsidRPr="00B12E45">
        <w:t>ETSI ES 201</w:t>
      </w:r>
      <w:r w:rsidR="008D3A4D" w:rsidRPr="00B12E45">
        <w:t xml:space="preserve"> </w:t>
      </w:r>
      <w:r w:rsidRPr="00B12E45">
        <w:t>873-1 v3.2.1 (2007-02)</w:t>
      </w:r>
      <w:r w:rsidR="00060249" w:rsidRPr="00B12E45">
        <w:br/>
        <w:t>The Testing and Test Control Notation version 3. Part 1: Core Language</w:t>
      </w:r>
      <w:bookmarkEnd w:id="20"/>
    </w:p>
    <w:p w:rsidR="0014167E" w:rsidRPr="00B12E45" w:rsidRDefault="0014167E" w:rsidP="00581C02">
      <w:pPr>
        <w:pStyle w:val="List"/>
      </w:pPr>
      <w:bookmarkStart w:id="21" w:name="_Ref182888820"/>
      <w:r w:rsidRPr="00B12E45">
        <w:rPr>
          <w:rFonts w:ascii="CMR10" w:eastAsia="SimSun" w:hAnsi="CMR10" w:cs="CMR10"/>
          <w:szCs w:val="22"/>
          <w:lang w:eastAsia="zh-CN"/>
        </w:rPr>
        <w:t>1/198 17-CRL 113 200 Uen</w:t>
      </w:r>
      <w:r w:rsidRPr="00B12E45">
        <w:br/>
        <w:t>User Guide for the TITAN TTCN-3 Test Executor</w:t>
      </w:r>
      <w:bookmarkEnd w:id="21"/>
    </w:p>
    <w:p w:rsidR="00060249" w:rsidRPr="00B12E45" w:rsidRDefault="0065566C" w:rsidP="00581C02">
      <w:pPr>
        <w:pStyle w:val="List"/>
      </w:pPr>
      <w:bookmarkStart w:id="22" w:name="ref_TITANSim_PRI"/>
      <w:bookmarkStart w:id="23" w:name="_Ref55710948"/>
      <w:bookmarkStart w:id="24" w:name="_Ref182888887"/>
      <w:bookmarkEnd w:id="19"/>
      <w:bookmarkEnd w:id="22"/>
      <w:r w:rsidRPr="00B12E45">
        <w:rPr>
          <w:rFonts w:cs="Arial"/>
          <w:szCs w:val="22"/>
        </w:rPr>
        <w:t xml:space="preserve">109 21-CNL 113 512-2 Uen </w:t>
      </w:r>
      <w:r w:rsidR="00060249" w:rsidRPr="00B12E45">
        <w:br/>
      </w:r>
      <w:bookmarkEnd w:id="23"/>
      <w:r w:rsidR="00581C02" w:rsidRPr="00B12E45">
        <w:t>TitanSim</w:t>
      </w:r>
      <w:r w:rsidR="00060249" w:rsidRPr="00B12E45">
        <w:t xml:space="preserve"> CLL for TTCN-3 toolset with TITAN, Product Revision Information</w:t>
      </w:r>
      <w:bookmarkEnd w:id="24"/>
    </w:p>
    <w:p w:rsidR="00DF401C" w:rsidRPr="00B12E45" w:rsidRDefault="00DF401C" w:rsidP="00DF401C">
      <w:pPr>
        <w:pStyle w:val="List"/>
      </w:pPr>
      <w:bookmarkStart w:id="25" w:name="_Ref182889793"/>
      <w:r w:rsidRPr="00B12E45">
        <w:rPr>
          <w:rFonts w:cs="Arial"/>
          <w:szCs w:val="22"/>
        </w:rPr>
        <w:t xml:space="preserve">155 17-CNL 113 512 Uen </w:t>
      </w:r>
      <w:r w:rsidRPr="00B12E45">
        <w:br/>
        <w:t>TitanSim CLL for TTCN-3 toolset with TITAN, Function Specification</w:t>
      </w:r>
      <w:bookmarkEnd w:id="25"/>
    </w:p>
    <w:p w:rsidR="005763A5" w:rsidRPr="00B12E45" w:rsidRDefault="00581C02" w:rsidP="00DF401C">
      <w:pPr>
        <w:pStyle w:val="List"/>
      </w:pPr>
      <w:bookmarkStart w:id="26" w:name="_Ref182890383"/>
      <w:bookmarkEnd w:id="16"/>
      <w:r w:rsidRPr="00B12E45">
        <w:t>TitanSim</w:t>
      </w:r>
      <w:r w:rsidR="00060249" w:rsidRPr="00B12E45">
        <w:t xml:space="preserve"> CLL  for TTCN-3 toolset with TITAN, Reference Guide</w:t>
      </w:r>
      <w:r w:rsidR="00060249" w:rsidRPr="00B12E45">
        <w:br/>
      </w:r>
      <w:hyperlink r:id="rId7" w:history="1">
        <w:r w:rsidR="00AB1ECB" w:rsidRPr="00B12E45">
          <w:rPr>
            <w:rStyle w:val="Hyperlink"/>
          </w:rPr>
          <w:t>http://ttcn.ericsson.se/products/libraries.shtml</w:t>
        </w:r>
      </w:hyperlink>
      <w:bookmarkEnd w:id="26"/>
    </w:p>
    <w:p w:rsidR="00AB1ECB" w:rsidRPr="00B12E45" w:rsidRDefault="004F66E3" w:rsidP="008559C7">
      <w:pPr>
        <w:pStyle w:val="List"/>
      </w:pPr>
      <w:bookmarkStart w:id="27" w:name="_Ref183597965"/>
      <w:r w:rsidRPr="004F66E3">
        <w:rPr>
          <w:rFonts w:eastAsia="SimSun" w:cs="Arial"/>
          <w:szCs w:val="22"/>
          <w:lang w:eastAsia="zh-CN"/>
        </w:rPr>
        <w:t>34/155 16-CNL 113 512 Uen</w:t>
      </w:r>
      <w:r w:rsidR="00AB1BCF" w:rsidRPr="00B12E45">
        <w:br/>
      </w:r>
      <w:r w:rsidR="008613CD" w:rsidRPr="00B12E45">
        <w:t xml:space="preserve">EPTF CLL </w:t>
      </w:r>
      <w:r>
        <w:t>StatMeasure</w:t>
      </w:r>
      <w:r w:rsidR="008613CD" w:rsidRPr="00B12E45">
        <w:t xml:space="preserve"> </w:t>
      </w:r>
      <w:bookmarkEnd w:id="27"/>
      <w:r w:rsidR="008559C7" w:rsidRPr="00B12E45">
        <w:t>Function Description</w:t>
      </w:r>
    </w:p>
    <w:p w:rsidR="005763A5" w:rsidRPr="00B12E45" w:rsidRDefault="005763A5" w:rsidP="002B5B52">
      <w:pPr>
        <w:pStyle w:val="Heading2"/>
        <w:jc w:val="both"/>
      </w:pPr>
      <w:bookmarkStart w:id="28" w:name="_Toc187641165"/>
      <w:bookmarkStart w:id="29" w:name="_Toc335038248"/>
      <w:r w:rsidRPr="00B12E45">
        <w:t>Scope</w:t>
      </w:r>
      <w:bookmarkEnd w:id="28"/>
      <w:bookmarkEnd w:id="29"/>
    </w:p>
    <w:p w:rsidR="001F5265" w:rsidRPr="00B12E45" w:rsidRDefault="00390F40" w:rsidP="007807CA">
      <w:pPr>
        <w:pStyle w:val="BodyText"/>
        <w:jc w:val="both"/>
      </w:pPr>
      <w:r w:rsidRPr="00B12E45">
        <w:t>T</w:t>
      </w:r>
      <w:r w:rsidR="001F5265" w:rsidRPr="00B12E45">
        <w:t xml:space="preserve">his document is to specify the content </w:t>
      </w:r>
      <w:r w:rsidR="00287A8F" w:rsidRPr="00B12E45">
        <w:t xml:space="preserve">and functionality </w:t>
      </w:r>
      <w:r w:rsidR="001F5265" w:rsidRPr="00B12E45">
        <w:t xml:space="preserve">of the </w:t>
      </w:r>
      <w:r w:rsidR="0024096C" w:rsidRPr="00B12E45">
        <w:t xml:space="preserve">Statistics </w:t>
      </w:r>
      <w:r w:rsidR="007807CA" w:rsidRPr="00B12E45">
        <w:t>M</w:t>
      </w:r>
      <w:r w:rsidR="00652B89">
        <w:t>anager</w:t>
      </w:r>
      <w:r w:rsidR="0024096C" w:rsidRPr="00B12E45">
        <w:t xml:space="preserve"> </w:t>
      </w:r>
      <w:r w:rsidR="007807CA" w:rsidRPr="00B12E45">
        <w:t>f</w:t>
      </w:r>
      <w:r w:rsidR="00945C19" w:rsidRPr="00B12E45">
        <w:t xml:space="preserve">eature </w:t>
      </w:r>
      <w:r w:rsidR="005B1767" w:rsidRPr="00B12E45">
        <w:t xml:space="preserve">of the </w:t>
      </w:r>
      <w:r w:rsidR="00581C02" w:rsidRPr="00B12E45">
        <w:t>TitanSim</w:t>
      </w:r>
      <w:r w:rsidR="00BD3346" w:rsidRPr="00B12E45">
        <w:t xml:space="preserve"> CLL</w:t>
      </w:r>
      <w:r w:rsidR="001F5265" w:rsidRPr="00B12E45">
        <w:t>.</w:t>
      </w:r>
    </w:p>
    <w:p w:rsidR="00390F40" w:rsidRPr="00B12E45" w:rsidRDefault="00390F40" w:rsidP="002B5B52">
      <w:pPr>
        <w:pStyle w:val="Heading2"/>
        <w:jc w:val="both"/>
      </w:pPr>
      <w:bookmarkStart w:id="30" w:name="_Toc151272922"/>
      <w:bookmarkStart w:id="31" w:name="_Toc153160133"/>
      <w:bookmarkStart w:id="32" w:name="_Toc153183680"/>
      <w:bookmarkStart w:id="33" w:name="_Toc153186504"/>
      <w:bookmarkStart w:id="34" w:name="_Toc153300645"/>
      <w:bookmarkStart w:id="35" w:name="_Toc153344807"/>
      <w:bookmarkStart w:id="36" w:name="_Toc187641166"/>
      <w:bookmarkStart w:id="37" w:name="_Toc335038249"/>
      <w:r w:rsidRPr="00B12E45">
        <w:t>Recommended way of reading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90F40" w:rsidRPr="00B12E45" w:rsidRDefault="00390F40" w:rsidP="007807CA">
      <w:pPr>
        <w:pStyle w:val="BodyText"/>
        <w:jc w:val="both"/>
      </w:pPr>
      <w:r w:rsidRPr="00B12E45">
        <w:t xml:space="preserve">The readers are supposed to get familiar with the </w:t>
      </w:r>
      <w:r w:rsidR="00DF401C" w:rsidRPr="00B12E45">
        <w:t>concept and functionalities</w:t>
      </w:r>
      <w:r w:rsidRPr="00B12E45">
        <w:t xml:space="preserve"> of</w:t>
      </w:r>
      <w:r w:rsidR="00DF401C" w:rsidRPr="00B12E45">
        <w:t xml:space="preserve"> TitanSim CLL </w:t>
      </w:r>
      <w:r w:rsidR="00DF401C" w:rsidRPr="00B12E45">
        <w:fldChar w:fldCharType="begin"/>
      </w:r>
      <w:r w:rsidR="00DF401C" w:rsidRPr="00B12E45">
        <w:instrText xml:space="preserve"> REF _Ref182889793 \r \h </w:instrText>
      </w:r>
      <w:r w:rsidR="00DF401C" w:rsidRPr="00B12E45">
        <w:fldChar w:fldCharType="separate"/>
      </w:r>
      <w:r w:rsidR="008C36AF">
        <w:rPr>
          <w:cs/>
        </w:rPr>
        <w:t>‎</w:t>
      </w:r>
      <w:r w:rsidR="008C36AF">
        <w:t>[4]</w:t>
      </w:r>
      <w:r w:rsidR="00DF401C" w:rsidRPr="00B12E45">
        <w:fldChar w:fldCharType="end"/>
      </w:r>
      <w:r w:rsidR="002C3D01" w:rsidRPr="00B12E45">
        <w:t xml:space="preserve"> in general, and the </w:t>
      </w:r>
      <w:r w:rsidR="00107EAE">
        <w:t>StatMeasure</w:t>
      </w:r>
      <w:r w:rsidR="00894365" w:rsidRPr="00B12E45">
        <w:t xml:space="preserve"> </w:t>
      </w:r>
      <w:r w:rsidR="00894365" w:rsidRPr="00B12E45">
        <w:fldChar w:fldCharType="begin"/>
      </w:r>
      <w:r w:rsidR="00894365" w:rsidRPr="00B12E45">
        <w:instrText xml:space="preserve"> REF _Ref183597965 \r \h </w:instrText>
      </w:r>
      <w:r w:rsidR="00894365" w:rsidRPr="00B12E45">
        <w:fldChar w:fldCharType="separate"/>
      </w:r>
      <w:r w:rsidR="008C36AF">
        <w:rPr>
          <w:cs/>
        </w:rPr>
        <w:t>‎</w:t>
      </w:r>
      <w:r w:rsidR="008C36AF">
        <w:t>[6]</w:t>
      </w:r>
      <w:r w:rsidR="00894365" w:rsidRPr="00B12E45">
        <w:fldChar w:fldCharType="end"/>
      </w:r>
      <w:r w:rsidR="00894365" w:rsidRPr="00B12E45">
        <w:t xml:space="preserve"> feature</w:t>
      </w:r>
      <w:r w:rsidRPr="00B12E45">
        <w:t xml:space="preserve">. </w:t>
      </w:r>
      <w:r w:rsidR="00DF401C" w:rsidRPr="00B12E45">
        <w:t>T</w:t>
      </w:r>
      <w:r w:rsidRPr="00B12E45">
        <w:t xml:space="preserve">hey should get familiar with the list of acronyms and the glossary in Section </w:t>
      </w:r>
      <w:r w:rsidRPr="00B12E45">
        <w:fldChar w:fldCharType="begin"/>
      </w:r>
      <w:r w:rsidRPr="00B12E45">
        <w:instrText xml:space="preserve"> REF _Ref159666337 \r \h </w:instrText>
      </w:r>
      <w:r w:rsidR="002B5B52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1.7</w:t>
      </w:r>
      <w:r w:rsidRPr="00B12E45">
        <w:fldChar w:fldCharType="end"/>
      </w:r>
      <w:r w:rsidRPr="00B12E45">
        <w:t xml:space="preserve"> and </w:t>
      </w:r>
      <w:r w:rsidRPr="00B12E45">
        <w:fldChar w:fldCharType="begin"/>
      </w:r>
      <w:r w:rsidRPr="00B12E45">
        <w:instrText xml:space="preserve"> REF _Ref159666346 \r \h </w:instrText>
      </w:r>
      <w:r w:rsidR="002B5B52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1.8</w:t>
      </w:r>
      <w:r w:rsidRPr="00B12E45">
        <w:fldChar w:fldCharType="end"/>
      </w:r>
      <w:r w:rsidRPr="00B12E45">
        <w:t xml:space="preserve">, respectively. </w:t>
      </w:r>
    </w:p>
    <w:p w:rsidR="00390F40" w:rsidRPr="00B12E45" w:rsidRDefault="00390F40" w:rsidP="002B5B52">
      <w:pPr>
        <w:pStyle w:val="Heading2"/>
        <w:jc w:val="both"/>
      </w:pPr>
      <w:bookmarkStart w:id="38" w:name="_Toc151272923"/>
      <w:bookmarkStart w:id="39" w:name="_Toc153160134"/>
      <w:bookmarkStart w:id="40" w:name="_Toc153183681"/>
      <w:bookmarkStart w:id="41" w:name="_Toc153186505"/>
      <w:bookmarkStart w:id="42" w:name="_Toc153300646"/>
      <w:bookmarkStart w:id="43" w:name="_Toc153344808"/>
      <w:bookmarkStart w:id="44" w:name="_Toc187641167"/>
      <w:bookmarkStart w:id="45" w:name="_Toc335038250"/>
      <w:r w:rsidRPr="00B12E45">
        <w:lastRenderedPageBreak/>
        <w:t>Typographical conventions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390F40" w:rsidRPr="00B12E45" w:rsidRDefault="00390F40" w:rsidP="00625AB1">
      <w:pPr>
        <w:pStyle w:val="BodyText"/>
        <w:jc w:val="both"/>
      </w:pPr>
      <w:r w:rsidRPr="00B12E45">
        <w:t xml:space="preserve">Important concepts are denoted by </w:t>
      </w:r>
      <w:r w:rsidRPr="00B12E45">
        <w:rPr>
          <w:i/>
          <w:iCs/>
        </w:rPr>
        <w:t>italic</w:t>
      </w:r>
      <w:r w:rsidRPr="00B12E45">
        <w:t xml:space="preserve"> font wherever they are first used in the given context. Moreover, whenever a concept is menti</w:t>
      </w:r>
      <w:r w:rsidR="008104D9" w:rsidRPr="00B12E45">
        <w:t>oned that has a special meaning</w:t>
      </w:r>
      <w:r w:rsidRPr="00B12E45">
        <w:t xml:space="preserve"> as described in the Glossary (Section </w:t>
      </w:r>
      <w:r w:rsidRPr="00B12E45">
        <w:fldChar w:fldCharType="begin"/>
      </w:r>
      <w:r w:rsidRPr="00B12E45">
        <w:instrText xml:space="preserve"> REF _Ref159666346 \r \h </w:instrText>
      </w:r>
      <w:r w:rsidR="002B5B52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1.8</w:t>
      </w:r>
      <w:r w:rsidRPr="00B12E45">
        <w:fldChar w:fldCharType="end"/>
      </w:r>
      <w:r w:rsidRPr="00B12E45">
        <w:t>) of this document, then these occu</w:t>
      </w:r>
      <w:r w:rsidR="008104D9" w:rsidRPr="00B12E45">
        <w:t>r</w:t>
      </w:r>
      <w:r w:rsidRPr="00B12E45">
        <w:t xml:space="preserve">rences are marked with an initial arrow, e.g., </w:t>
      </w:r>
      <w:r w:rsidRPr="00B12E45">
        <w:rPr>
          <w:rFonts w:eastAsia="SimSun"/>
          <w:i/>
          <w:iCs/>
          <w:lang w:eastAsia="zh-CN"/>
        </w:rPr>
        <w:sym w:font="Wingdings" w:char="F0E0"/>
      </w:r>
      <w:r w:rsidRPr="00B12E45">
        <w:rPr>
          <w:rFonts w:eastAsia="SimSun"/>
          <w:i/>
          <w:iCs/>
          <w:lang w:eastAsia="zh-CN"/>
        </w:rPr>
        <w:t xml:space="preserve"> </w:t>
      </w:r>
      <w:r w:rsidR="00581C02" w:rsidRPr="00B12E45">
        <w:rPr>
          <w:rFonts w:eastAsia="SimSun"/>
          <w:i/>
          <w:iCs/>
          <w:lang w:eastAsia="zh-CN"/>
        </w:rPr>
        <w:t>TitanSim</w:t>
      </w:r>
      <w:r w:rsidR="00B53558" w:rsidRPr="00B12E45">
        <w:rPr>
          <w:rFonts w:eastAsia="SimSun"/>
          <w:i/>
          <w:iCs/>
          <w:lang w:eastAsia="zh-CN"/>
        </w:rPr>
        <w:t xml:space="preserve"> Statistics</w:t>
      </w:r>
      <w:r w:rsidRPr="00B12E45">
        <w:rPr>
          <w:rFonts w:eastAsia="SimSun"/>
          <w:lang w:eastAsia="zh-CN"/>
        </w:rPr>
        <w:t>.</w:t>
      </w:r>
      <w:r w:rsidR="00301F59" w:rsidRPr="00B12E45">
        <w:rPr>
          <w:rFonts w:eastAsia="SimSun"/>
          <w:lang w:eastAsia="zh-CN"/>
        </w:rPr>
        <w:t xml:space="preserve"> </w:t>
      </w:r>
    </w:p>
    <w:p w:rsidR="005763A5" w:rsidRPr="00B12E45" w:rsidRDefault="005763A5" w:rsidP="005763A5">
      <w:pPr>
        <w:pStyle w:val="Heading2"/>
      </w:pPr>
      <w:bookmarkStart w:id="46" w:name="_Ref159666337"/>
      <w:bookmarkStart w:id="47" w:name="_Toc187641168"/>
      <w:bookmarkStart w:id="48" w:name="_Toc335038251"/>
      <w:r w:rsidRPr="00B12E45">
        <w:t>Abbreviations</w:t>
      </w:r>
      <w:bookmarkEnd w:id="46"/>
      <w:bookmarkEnd w:id="47"/>
      <w:bookmarkEnd w:id="48"/>
    </w:p>
    <w:p w:rsidR="00081610" w:rsidRPr="00B12E45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B12E45">
        <w:rPr>
          <w:rFonts w:cs="Arial"/>
        </w:rPr>
        <w:t>CLL</w:t>
      </w:r>
      <w:r w:rsidRPr="00B12E45">
        <w:rPr>
          <w:rFonts w:cs="Arial"/>
        </w:rPr>
        <w:tab/>
        <w:t>Core Load Library</w:t>
      </w:r>
    </w:p>
    <w:p w:rsidR="00F57DB3" w:rsidRPr="00B12E45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 w:rsidRPr="00B12E45">
        <w:rPr>
          <w:rFonts w:eastAsia="SimSun"/>
          <w:lang w:eastAsia="zh-CN"/>
        </w:rPr>
        <w:t>EPTF</w:t>
      </w:r>
      <w:r w:rsidRPr="00B12E45">
        <w:rPr>
          <w:rFonts w:eastAsia="SimSun"/>
          <w:lang w:eastAsia="zh-CN"/>
        </w:rPr>
        <w:tab/>
        <w:t>Ericsson Load Test Framework, formerly TITAN Load Test Framework</w:t>
      </w:r>
    </w:p>
    <w:p w:rsidR="00081610" w:rsidRPr="00B12E45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 w:rsidRPr="00B12E45">
        <w:rPr>
          <w:rFonts w:cs="Arial"/>
        </w:rPr>
        <w:t>TitanSim</w:t>
      </w:r>
      <w:r w:rsidR="00081610" w:rsidRPr="00B12E45">
        <w:rPr>
          <w:rFonts w:cs="Arial"/>
        </w:rPr>
        <w:tab/>
        <w:t>Ericsson Load Test Framework, formerly TITAN Load Test Framework</w:t>
      </w:r>
    </w:p>
    <w:p w:rsidR="00081610" w:rsidRPr="00B12E45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B12E45">
        <w:rPr>
          <w:rFonts w:cs="Arial"/>
        </w:rPr>
        <w:t xml:space="preserve">TTCN-3 </w:t>
      </w:r>
      <w:r w:rsidRPr="00B12E45">
        <w:rPr>
          <w:rFonts w:cs="Arial"/>
        </w:rPr>
        <w:tab/>
        <w:t xml:space="preserve">Testing and Test Control Notation version 3 </w:t>
      </w:r>
      <w:r w:rsidR="00B05CF7" w:rsidRPr="00B12E45">
        <w:rPr>
          <w:rFonts w:cs="Arial"/>
        </w:rPr>
        <w:fldChar w:fldCharType="begin"/>
      </w:r>
      <w:r w:rsidR="00B05CF7" w:rsidRPr="00B12E45">
        <w:rPr>
          <w:rFonts w:cs="Arial"/>
        </w:rPr>
        <w:instrText xml:space="preserve"> REF _Ref45513518 \r \h </w:instrText>
      </w:r>
      <w:r w:rsidR="00FC5ADB" w:rsidRPr="00B12E45">
        <w:rPr>
          <w:rFonts w:cs="Arial"/>
        </w:rPr>
      </w:r>
      <w:r w:rsidR="00B05CF7" w:rsidRPr="00B12E45">
        <w:rPr>
          <w:rFonts w:cs="Arial"/>
        </w:rPr>
        <w:fldChar w:fldCharType="separate"/>
      </w:r>
      <w:r w:rsidR="008C36AF">
        <w:rPr>
          <w:rFonts w:cs="Arial"/>
          <w:cs/>
        </w:rPr>
        <w:t>‎</w:t>
      </w:r>
      <w:r w:rsidR="008C36AF">
        <w:rPr>
          <w:rFonts w:cs="Arial"/>
        </w:rPr>
        <w:t>[1]</w:t>
      </w:r>
      <w:r w:rsidR="00B05CF7" w:rsidRPr="00B12E45">
        <w:rPr>
          <w:rFonts w:cs="Arial"/>
        </w:rPr>
        <w:fldChar w:fldCharType="end"/>
      </w:r>
    </w:p>
    <w:p w:rsidR="001F5265" w:rsidRPr="00B12E45" w:rsidRDefault="001F5265" w:rsidP="001F5265">
      <w:pPr>
        <w:pStyle w:val="Heading2"/>
      </w:pPr>
      <w:bookmarkStart w:id="49" w:name="_Ref159666346"/>
      <w:bookmarkStart w:id="50" w:name="_Toc187641169"/>
      <w:bookmarkStart w:id="51" w:name="_Toc335038252"/>
      <w:r w:rsidRPr="00B12E45">
        <w:t>Terminology</w:t>
      </w:r>
      <w:bookmarkEnd w:id="49"/>
      <w:bookmarkEnd w:id="50"/>
      <w:bookmarkEnd w:id="51"/>
    </w:p>
    <w:p w:rsidR="00390F40" w:rsidRPr="00B12E45" w:rsidRDefault="00581C02" w:rsidP="002B5B52">
      <w:pPr>
        <w:pStyle w:val="Term-list"/>
        <w:jc w:val="both"/>
        <w:rPr>
          <w:rFonts w:eastAsia="SimSun"/>
          <w:lang w:eastAsia="zh-CN"/>
        </w:rPr>
      </w:pPr>
      <w:r w:rsidRPr="00B12E45">
        <w:rPr>
          <w:rFonts w:eastAsia="SimSun"/>
          <w:i/>
          <w:iCs/>
          <w:lang w:eastAsia="zh-CN"/>
        </w:rPr>
        <w:t>TitanSim</w:t>
      </w:r>
      <w:r w:rsidR="00290F3E" w:rsidRPr="00B12E45">
        <w:rPr>
          <w:rFonts w:eastAsia="SimSun"/>
          <w:i/>
          <w:iCs/>
          <w:lang w:eastAsia="zh-CN"/>
        </w:rPr>
        <w:t xml:space="preserve"> Core (</w:t>
      </w:r>
      <w:r w:rsidR="00390F40" w:rsidRPr="00B12E45">
        <w:rPr>
          <w:rFonts w:eastAsia="SimSun"/>
          <w:i/>
          <w:iCs/>
          <w:lang w:eastAsia="zh-CN"/>
        </w:rPr>
        <w:t>Load) Library(CLL)</w:t>
      </w:r>
      <w:r w:rsidR="00390F40" w:rsidRPr="00B12E45">
        <w:rPr>
          <w:rFonts w:eastAsia="SimSun"/>
          <w:i/>
          <w:iCs/>
          <w:lang w:eastAsia="zh-CN"/>
        </w:rPr>
        <w:tab/>
      </w:r>
      <w:r w:rsidR="00390F40" w:rsidRPr="00B12E45">
        <w:rPr>
          <w:rFonts w:eastAsia="SimSun"/>
          <w:lang w:eastAsia="zh-CN"/>
        </w:rPr>
        <w:t xml:space="preserve">is that part of the </w:t>
      </w:r>
      <w:r w:rsidRPr="00B12E45">
        <w:rPr>
          <w:rFonts w:eastAsia="SimSun"/>
          <w:lang w:eastAsia="zh-CN"/>
        </w:rPr>
        <w:t>TitanSim</w:t>
      </w:r>
      <w:r w:rsidR="00390F40" w:rsidRPr="00B12E45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B12E45">
        <w:rPr>
          <w:rFonts w:eastAsia="SimSun"/>
          <w:lang w:eastAsia="zh-CN"/>
        </w:rPr>
        <w:t>TitanSim</w:t>
      </w:r>
      <w:r w:rsidR="00BD3346" w:rsidRPr="00B12E45">
        <w:rPr>
          <w:rFonts w:eastAsia="SimSun"/>
          <w:lang w:eastAsia="zh-CN"/>
        </w:rPr>
        <w:t xml:space="preserve"> CLL</w:t>
      </w:r>
      <w:r w:rsidR="00390F40" w:rsidRPr="00B12E45">
        <w:rPr>
          <w:rFonts w:eastAsia="SimSun"/>
          <w:lang w:eastAsia="zh-CN"/>
        </w:rPr>
        <w:t xml:space="preserve"> is to be supplied and supported by the TCC organization. Any </w:t>
      </w:r>
      <w:r w:rsidRPr="00B12E45">
        <w:rPr>
          <w:rFonts w:eastAsia="SimSun"/>
          <w:lang w:eastAsia="zh-CN"/>
        </w:rPr>
        <w:t>TitanSim</w:t>
      </w:r>
      <w:r w:rsidR="00BD3346" w:rsidRPr="00B12E45">
        <w:rPr>
          <w:rFonts w:eastAsia="SimSun"/>
          <w:lang w:eastAsia="zh-CN"/>
        </w:rPr>
        <w:t xml:space="preserve"> CLL</w:t>
      </w:r>
      <w:r w:rsidR="00390F40" w:rsidRPr="00B12E45">
        <w:rPr>
          <w:rFonts w:eastAsia="SimSun"/>
          <w:lang w:eastAsia="zh-CN"/>
        </w:rPr>
        <w:t xml:space="preserve"> development is to be funded centrally by Ericsson</w:t>
      </w:r>
    </w:p>
    <w:p w:rsidR="00154DAA" w:rsidRPr="00B12E45" w:rsidRDefault="00D75647" w:rsidP="00D75647">
      <w:pPr>
        <w:pStyle w:val="Term-list"/>
        <w:jc w:val="both"/>
        <w:rPr>
          <w:rFonts w:eastAsia="SimSun"/>
          <w:i/>
          <w:iCs/>
          <w:lang w:eastAsia="zh-CN"/>
        </w:rPr>
      </w:pPr>
      <w:r w:rsidRPr="00B12E45">
        <w:rPr>
          <w:rFonts w:eastAsia="SimSun"/>
          <w:i/>
          <w:iCs/>
          <w:lang w:eastAsia="zh-CN"/>
        </w:rPr>
        <w:t>TitanSim Variables</w:t>
      </w:r>
      <w:r w:rsidRPr="00B12E45">
        <w:rPr>
          <w:rFonts w:eastAsia="SimSun"/>
          <w:i/>
          <w:iCs/>
          <w:lang w:eastAsia="zh-CN"/>
        </w:rPr>
        <w:tab/>
      </w:r>
      <w:r w:rsidRPr="00B12E45">
        <w:rPr>
          <w:rFonts w:eastAsia="SimSun"/>
          <w:lang w:eastAsia="zh-CN"/>
        </w:rPr>
        <w:t>contain values, from which</w:t>
      </w:r>
      <w:r w:rsidRPr="00B12E45">
        <w:rPr>
          <w:rFonts w:eastAsia="SimSun"/>
          <w:i/>
          <w:iCs/>
          <w:lang w:eastAsia="zh-CN"/>
        </w:rPr>
        <w:t xml:space="preserve"> </w:t>
      </w:r>
      <w:r w:rsidRPr="00B12E45">
        <w:rPr>
          <w:rFonts w:eastAsia="SimSun"/>
          <w:i/>
          <w:iCs/>
          <w:lang w:eastAsia="zh-CN"/>
        </w:rPr>
        <w:sym w:font="Wingdings" w:char="F0E0"/>
      </w:r>
      <w:r w:rsidRPr="00B12E45">
        <w:rPr>
          <w:rFonts w:eastAsia="SimSun"/>
          <w:i/>
          <w:iCs/>
          <w:lang w:eastAsia="zh-CN"/>
        </w:rPr>
        <w:t xml:space="preserve"> TitanSim Statistics </w:t>
      </w:r>
      <w:r w:rsidRPr="00B12E45">
        <w:rPr>
          <w:rFonts w:eastAsia="SimSun"/>
          <w:lang w:eastAsia="zh-CN"/>
        </w:rPr>
        <w:t>can be calculated automatically on changes or periodically.</w:t>
      </w:r>
      <w:r w:rsidRPr="00B12E45">
        <w:rPr>
          <w:rFonts w:eastAsia="SimSun"/>
          <w:i/>
          <w:iCs/>
          <w:lang w:eastAsia="zh-CN"/>
        </w:rPr>
        <w:t xml:space="preserve">  </w:t>
      </w:r>
    </w:p>
    <w:p w:rsidR="008E3E80" w:rsidRPr="00B12E45" w:rsidRDefault="008E3E80" w:rsidP="00D75647">
      <w:pPr>
        <w:pStyle w:val="Term-list"/>
        <w:jc w:val="both"/>
        <w:rPr>
          <w:rFonts w:eastAsia="SimSun"/>
          <w:lang w:eastAsia="zh-CN"/>
        </w:rPr>
      </w:pPr>
      <w:r w:rsidRPr="00B12E45">
        <w:rPr>
          <w:rFonts w:eastAsia="SimSun"/>
          <w:i/>
          <w:iCs/>
          <w:lang w:eastAsia="zh-CN"/>
        </w:rPr>
        <w:t>TitanSim Statistics Measure</w:t>
      </w:r>
      <w:r w:rsidRPr="00B12E45">
        <w:rPr>
          <w:rFonts w:eastAsia="SimSun"/>
          <w:i/>
          <w:iCs/>
          <w:lang w:eastAsia="zh-CN"/>
        </w:rPr>
        <w:tab/>
      </w:r>
      <w:r w:rsidRPr="00B12E45">
        <w:rPr>
          <w:rFonts w:eastAsia="SimSun"/>
          <w:lang w:eastAsia="zh-CN"/>
        </w:rPr>
        <w:t xml:space="preserve">is a feature, which is responsible for creating </w:t>
      </w:r>
      <w:r w:rsidRPr="00B12E45">
        <w:rPr>
          <w:rFonts w:eastAsia="SimSun"/>
          <w:i/>
          <w:iCs/>
          <w:lang w:eastAsia="zh-CN"/>
        </w:rPr>
        <w:sym w:font="Wingdings" w:char="F0E0"/>
      </w:r>
      <w:r w:rsidRPr="00B12E45">
        <w:rPr>
          <w:rFonts w:eastAsia="SimSun"/>
          <w:i/>
          <w:iCs/>
          <w:lang w:eastAsia="zh-CN"/>
        </w:rPr>
        <w:t xml:space="preserve">  TitanSim Statistics </w:t>
      </w:r>
      <w:r w:rsidRPr="00B12E45">
        <w:rPr>
          <w:rFonts w:eastAsia="SimSun"/>
          <w:lang w:eastAsia="zh-CN"/>
        </w:rPr>
        <w:t>and updating their value when required.</w:t>
      </w:r>
      <w:r w:rsidR="004B4482" w:rsidRPr="00B12E45">
        <w:rPr>
          <w:rFonts w:eastAsia="SimSun"/>
          <w:lang w:eastAsia="zh-CN"/>
        </w:rPr>
        <w:t xml:space="preserve"> </w:t>
      </w:r>
    </w:p>
    <w:p w:rsidR="00390F40" w:rsidRPr="00B12E45" w:rsidRDefault="00581C02" w:rsidP="00CC576F">
      <w:pPr>
        <w:pStyle w:val="Term-list"/>
        <w:jc w:val="both"/>
        <w:rPr>
          <w:rFonts w:eastAsia="SimSun"/>
        </w:rPr>
      </w:pPr>
      <w:r w:rsidRPr="00B12E45">
        <w:rPr>
          <w:rFonts w:eastAsia="SimSun"/>
          <w:i/>
          <w:iCs/>
        </w:rPr>
        <w:t>TitanSim</w:t>
      </w:r>
      <w:r w:rsidR="00390F40" w:rsidRPr="00B12E45">
        <w:rPr>
          <w:rFonts w:eastAsia="SimSun"/>
          <w:i/>
          <w:iCs/>
        </w:rPr>
        <w:t xml:space="preserve"> Statistics</w:t>
      </w:r>
      <w:r w:rsidR="00390F40" w:rsidRPr="00B12E45">
        <w:rPr>
          <w:rFonts w:eastAsia="SimSun"/>
          <w:i/>
          <w:iCs/>
        </w:rPr>
        <w:tab/>
      </w:r>
      <w:r w:rsidR="00390F40" w:rsidRPr="00B12E45">
        <w:rPr>
          <w:rFonts w:eastAsia="SimSun"/>
        </w:rPr>
        <w:t xml:space="preserve">are </w:t>
      </w:r>
      <w:r w:rsidR="00CC576F" w:rsidRPr="00B12E45">
        <w:rPr>
          <w:rFonts w:eastAsia="SimSun"/>
        </w:rPr>
        <w:t xml:space="preserve">Statistics of </w:t>
      </w:r>
      <w:r w:rsidR="00390F40" w:rsidRPr="00B12E45">
        <w:rPr>
          <w:rFonts w:eastAsia="SimSun"/>
        </w:rPr>
        <w:t xml:space="preserve">TTCN-3 </w:t>
      </w:r>
      <w:r w:rsidR="00CC576F" w:rsidRPr="00B12E45">
        <w:rPr>
          <w:rFonts w:eastAsia="SimSun"/>
        </w:rPr>
        <w:t>V</w:t>
      </w:r>
      <w:r w:rsidR="00390F40" w:rsidRPr="00B12E45">
        <w:rPr>
          <w:rFonts w:eastAsia="SimSun"/>
        </w:rPr>
        <w:t xml:space="preserve">ariables. </w:t>
      </w:r>
      <w:r w:rsidR="004B4482" w:rsidRPr="00B12E45">
        <w:rPr>
          <w:rFonts w:eastAsia="SimSun"/>
        </w:rPr>
        <w:t xml:space="preserve">Possible Statistics are among others minimum, maximum, mean, standard deviation, etc. and also the content of a Variable can be a Statistics itself. </w:t>
      </w:r>
      <w:r w:rsidR="00390F40" w:rsidRPr="00B12E45">
        <w:rPr>
          <w:rFonts w:eastAsia="SimSun"/>
        </w:rPr>
        <w:t xml:space="preserve">The values of such </w:t>
      </w:r>
      <w:r w:rsidR="00CC576F" w:rsidRPr="00B12E45">
        <w:rPr>
          <w:rFonts w:eastAsia="SimSun"/>
        </w:rPr>
        <w:t>Statistics</w:t>
      </w:r>
      <w:r w:rsidR="00390F40" w:rsidRPr="00B12E45">
        <w:rPr>
          <w:rFonts w:eastAsia="SimSun"/>
        </w:rPr>
        <w:t xml:space="preserve"> are automatically and periodically </w:t>
      </w:r>
      <w:r w:rsidR="003B2A8C" w:rsidRPr="00B12E45">
        <w:rPr>
          <w:rFonts w:eastAsia="SimSun"/>
        </w:rPr>
        <w:t>updated in the</w:t>
      </w:r>
      <w:r w:rsidR="00390F40" w:rsidRPr="00B12E45">
        <w:rPr>
          <w:rFonts w:eastAsia="SimSun"/>
        </w:rPr>
        <w:t xml:space="preserve"> background. </w:t>
      </w:r>
    </w:p>
    <w:p w:rsidR="001F5265" w:rsidRPr="00B12E45" w:rsidRDefault="001F5265" w:rsidP="001F5265">
      <w:pPr>
        <w:pStyle w:val="Heading1"/>
      </w:pPr>
      <w:bookmarkStart w:id="52" w:name="_Toc187641170"/>
      <w:bookmarkStart w:id="53" w:name="_Toc335038253"/>
      <w:r w:rsidRPr="00B12E45">
        <w:t>General</w:t>
      </w:r>
      <w:r w:rsidR="001A44A8" w:rsidRPr="00B12E45">
        <w:t xml:space="preserve"> Description</w:t>
      </w:r>
      <w:bookmarkEnd w:id="52"/>
      <w:bookmarkEnd w:id="53"/>
    </w:p>
    <w:p w:rsidR="00721323" w:rsidRPr="00B12E45" w:rsidRDefault="00721323" w:rsidP="007807CA">
      <w:pPr>
        <w:pStyle w:val="BodyText"/>
        <w:jc w:val="both"/>
      </w:pPr>
      <w:r w:rsidRPr="00B12E45">
        <w:t xml:space="preserve">This document specifies the Statistics </w:t>
      </w:r>
      <w:r w:rsidR="007807CA" w:rsidRPr="00B12E45">
        <w:t>M</w:t>
      </w:r>
      <w:r w:rsidR="00107EAE">
        <w:t>anager</w:t>
      </w:r>
      <w:r w:rsidRPr="00B12E45">
        <w:t xml:space="preserve"> feature of the TITANSim CLL. </w:t>
      </w:r>
    </w:p>
    <w:p w:rsidR="00721323" w:rsidRPr="00B12E45" w:rsidRDefault="00721323" w:rsidP="006E549A">
      <w:pPr>
        <w:pStyle w:val="BodyText"/>
        <w:jc w:val="both"/>
      </w:pPr>
      <w:r w:rsidRPr="00B12E45">
        <w:lastRenderedPageBreak/>
        <w:t xml:space="preserve">The EPTF Statistics </w:t>
      </w:r>
      <w:r w:rsidR="006E549A" w:rsidRPr="00B12E45">
        <w:t>M</w:t>
      </w:r>
      <w:r w:rsidR="00107EAE">
        <w:t>anager</w:t>
      </w:r>
      <w:r w:rsidRPr="00B12E45">
        <w:t xml:space="preserve"> feature makes it possible to </w:t>
      </w:r>
    </w:p>
    <w:p w:rsidR="00721323" w:rsidRPr="00B12E45" w:rsidRDefault="00323AAD" w:rsidP="00721323">
      <w:pPr>
        <w:pStyle w:val="BodyText"/>
        <w:numPr>
          <w:ilvl w:val="0"/>
          <w:numId w:val="20"/>
        </w:numPr>
        <w:jc w:val="both"/>
      </w:pPr>
      <w:r w:rsidRPr="00B12E45">
        <w:t xml:space="preserve">Create </w:t>
      </w:r>
      <w:r w:rsidR="0076589D">
        <w:t>limit statistics based on  published data elements</w:t>
      </w:r>
    </w:p>
    <w:p w:rsidR="00721323" w:rsidRPr="00B12E45" w:rsidRDefault="0076589D" w:rsidP="00323AAD">
      <w:pPr>
        <w:pStyle w:val="BodyText"/>
        <w:numPr>
          <w:ilvl w:val="0"/>
          <w:numId w:val="20"/>
        </w:numPr>
        <w:jc w:val="both"/>
      </w:pPr>
      <w:r>
        <w:t>Publish these statistics as new data elements</w:t>
      </w:r>
    </w:p>
    <w:p w:rsidR="005645E1" w:rsidRDefault="009E617F" w:rsidP="00BB40AF">
      <w:pPr>
        <w:pStyle w:val="BodyText"/>
        <w:jc w:val="both"/>
      </w:pPr>
      <w:r>
        <w:t>StatManager feature publishes a data element called ‘LEDlimit’, this is a statusLED. This can be used to visualize a source data element</w:t>
      </w:r>
      <w:r w:rsidR="007231A3">
        <w:t>’</w:t>
      </w:r>
      <w:r>
        <w:t>s value</w:t>
      </w:r>
      <w:r w:rsidR="00E60B9F">
        <w:t xml:space="preserve"> or the relative difference to a reference data</w:t>
      </w:r>
      <w:r>
        <w:t>. Different limits can be provided which decide the LED’s color in cases of different values of the source data.</w:t>
      </w:r>
      <w:r w:rsidR="00AB63BE">
        <w:t xml:space="preserve"> As the value of the source</w:t>
      </w:r>
      <w:r w:rsidR="00233A30">
        <w:t xml:space="preserve"> or reference</w:t>
      </w:r>
      <w:r w:rsidR="00AB63BE">
        <w:t xml:space="preserve"> data changes, the color of the status LED changes dynamically also.</w:t>
      </w:r>
    </w:p>
    <w:p w:rsidR="00A94023" w:rsidRDefault="00A94023" w:rsidP="00A94023">
      <w:pPr>
        <w:pStyle w:val="Heading2"/>
      </w:pPr>
      <w:bookmarkStart w:id="54" w:name="_Toc335038254"/>
      <w:r>
        <w:t>Detailed description</w:t>
      </w:r>
      <w:bookmarkEnd w:id="54"/>
    </w:p>
    <w:p w:rsidR="00A94023" w:rsidRDefault="00043F60" w:rsidP="00A94023">
      <w:pPr>
        <w:pStyle w:val="Heading3"/>
      </w:pPr>
      <w:bookmarkStart w:id="55" w:name="_Toc335038255"/>
      <w:r>
        <w:t>The source data</w:t>
      </w:r>
      <w:bookmarkEnd w:id="55"/>
    </w:p>
    <w:p w:rsidR="00140112" w:rsidRDefault="00043F60" w:rsidP="00140112">
      <w:pPr>
        <w:pStyle w:val="BodyText"/>
      </w:pPr>
      <w:r>
        <w:t xml:space="preserve">Source data can be of two types: integer and float. This is the only </w:t>
      </w:r>
      <w:r w:rsidR="00140112">
        <w:t>mandatory</w:t>
      </w:r>
      <w:r>
        <w:t xml:space="preserve"> parameter.</w:t>
      </w:r>
      <w:r w:rsidR="000B22E6">
        <w:t xml:space="preserve"> </w:t>
      </w:r>
      <w:r w:rsidR="00E62BBD">
        <w:t xml:space="preserve">If no </w:t>
      </w:r>
      <w:r w:rsidR="000B22E6">
        <w:t xml:space="preserve">source data is specified </w:t>
      </w:r>
      <w:r w:rsidR="00E62BBD">
        <w:t xml:space="preserve">not only </w:t>
      </w:r>
      <w:r w:rsidR="000B22E6">
        <w:t>there won’t be any statistics created and published</w:t>
      </w:r>
      <w:r w:rsidR="00E62BBD">
        <w:t>, but it will cause an error</w:t>
      </w:r>
      <w:r w:rsidR="000B22E6">
        <w:t>.</w:t>
      </w:r>
      <w:r w:rsidR="00140112">
        <w:t xml:space="preserve"> This and the limit parameters will decide the actual color of the status LED.</w:t>
      </w:r>
    </w:p>
    <w:p w:rsidR="00140112" w:rsidRPr="00043F60" w:rsidRDefault="00140112" w:rsidP="00140112">
      <w:pPr>
        <w:pStyle w:val="BodyText"/>
      </w:pPr>
      <w:r w:rsidRPr="00140112">
        <w:rPr>
          <w:b/>
        </w:rPr>
        <w:t>Parameter name:</w:t>
      </w:r>
      <w:r>
        <w:t xml:space="preserve"> “VarId”</w:t>
      </w:r>
      <w:r w:rsidR="00D25A8E">
        <w:t xml:space="preserve"> (mandatory)</w:t>
      </w:r>
    </w:p>
    <w:p w:rsidR="00A94023" w:rsidRDefault="000B22E6" w:rsidP="00A94023">
      <w:pPr>
        <w:pStyle w:val="Heading3"/>
      </w:pPr>
      <w:bookmarkStart w:id="56" w:name="_Toc335038256"/>
      <w:r>
        <w:t>Reference data</w:t>
      </w:r>
      <w:bookmarkEnd w:id="56"/>
    </w:p>
    <w:p w:rsidR="00A94023" w:rsidRDefault="000B22E6" w:rsidP="00A94023">
      <w:pPr>
        <w:pStyle w:val="BodyText"/>
      </w:pPr>
      <w:r>
        <w:t xml:space="preserve">It is possible to provide a reference variable which case the statistic will be calculated relatively to this reference data: </w:t>
      </w:r>
      <w:r w:rsidR="00CE1BA7">
        <w:t xml:space="preserve">100 * </w:t>
      </w:r>
      <w:r>
        <w:t xml:space="preserve">(source-ref)/ref. This percentage and the limit parameters will decide the </w:t>
      </w:r>
      <w:r w:rsidR="00140112">
        <w:t xml:space="preserve">actual </w:t>
      </w:r>
      <w:r>
        <w:t>color of the status LED.</w:t>
      </w:r>
      <w:r w:rsidR="006D10E9">
        <w:t xml:space="preserve"> The reference data must be also of type integer or float.</w:t>
      </w:r>
    </w:p>
    <w:p w:rsidR="00140112" w:rsidRDefault="00140112" w:rsidP="00A94023">
      <w:pPr>
        <w:pStyle w:val="BodyText"/>
      </w:pPr>
      <w:r w:rsidRPr="00140112">
        <w:rPr>
          <w:b/>
        </w:rPr>
        <w:t>Parameter name:</w:t>
      </w:r>
      <w:r>
        <w:t xml:space="preserve"> “refVarId”</w:t>
      </w:r>
      <w:r w:rsidR="00D25A8E">
        <w:t xml:space="preserve"> (optional)</w:t>
      </w:r>
    </w:p>
    <w:p w:rsidR="00FC2C20" w:rsidRDefault="00A94A5D" w:rsidP="00FC2C20">
      <w:pPr>
        <w:pStyle w:val="Heading3"/>
      </w:pPr>
      <w:bookmarkStart w:id="57" w:name="_Toc335038257"/>
      <w:r>
        <w:t>The limit</w:t>
      </w:r>
      <w:r w:rsidR="00140112">
        <w:t xml:space="preserve"> parameter</w:t>
      </w:r>
      <w:r>
        <w:t>s</w:t>
      </w:r>
      <w:bookmarkEnd w:id="57"/>
    </w:p>
    <w:p w:rsidR="00552500" w:rsidRDefault="0000544C" w:rsidP="006A15DF">
      <w:pPr>
        <w:pStyle w:val="BodyText"/>
      </w:pPr>
      <w:r>
        <w:t>Limit parameters define the color of the status LED in case of different values of the limit statistic.</w:t>
      </w:r>
      <w:r w:rsidR="00345FC7">
        <w:t xml:space="preserve"> Their values must be </w:t>
      </w:r>
      <w:r w:rsidR="00557453">
        <w:t>legal float numbers</w:t>
      </w:r>
      <w:r w:rsidR="00345FC7">
        <w:t>.</w:t>
      </w:r>
    </w:p>
    <w:p w:rsidR="0000544C" w:rsidRPr="00064D94" w:rsidRDefault="0000544C" w:rsidP="006A15DF">
      <w:pPr>
        <w:pStyle w:val="BodyText"/>
        <w:rPr>
          <w:b/>
        </w:rPr>
      </w:pPr>
      <w:r w:rsidRPr="00064D94">
        <w:rPr>
          <w:b/>
        </w:rPr>
        <w:t>Example:</w:t>
      </w:r>
    </w:p>
    <w:p w:rsidR="00820939" w:rsidRDefault="0000544C" w:rsidP="006A15DF">
      <w:pPr>
        <w:pStyle w:val="BodyText"/>
      </w:pPr>
      <w:r>
        <w:t>&lt;dataparam name=”greenLimit” value=”90.0” /&gt;</w:t>
      </w:r>
      <w:r w:rsidR="00820939">
        <w:br/>
        <w:t>&lt;dataparam name=”yellowLimit” value=”70.0” /&gt;</w:t>
      </w:r>
    </w:p>
    <w:p w:rsidR="00FD7207" w:rsidRPr="00B51CFC" w:rsidRDefault="00FD7207" w:rsidP="006A15DF">
      <w:pPr>
        <w:pStyle w:val="BodyText"/>
        <w:rPr>
          <w:b/>
        </w:rPr>
      </w:pPr>
      <w:r w:rsidRPr="00FD7207">
        <w:rPr>
          <w:b/>
        </w:rPr>
        <w:t xml:space="preserve">Parameter name: </w:t>
      </w:r>
      <w:r w:rsidR="00B51CFC" w:rsidRPr="00552500">
        <w:t>“</w:t>
      </w:r>
      <w:r w:rsidR="00552500">
        <w:t>greenLimit</w:t>
      </w:r>
      <w:r w:rsidR="00B51CFC">
        <w:t>”</w:t>
      </w:r>
      <w:r w:rsidR="00552500">
        <w:t>, “yellowLimit”, “redLimit”, “blueLimit”, “blackLimit”</w:t>
      </w:r>
    </w:p>
    <w:p w:rsidR="00FC2C20" w:rsidRDefault="00FD7207" w:rsidP="00FC2C20">
      <w:pPr>
        <w:pStyle w:val="Heading3"/>
      </w:pPr>
      <w:bookmarkStart w:id="58" w:name="_Toc335038258"/>
      <w:r>
        <w:t>Default color</w:t>
      </w:r>
      <w:bookmarkEnd w:id="58"/>
    </w:p>
    <w:p w:rsidR="00D64220" w:rsidRDefault="00A860B3" w:rsidP="00D64220">
      <w:pPr>
        <w:pStyle w:val="BodyText"/>
      </w:pPr>
      <w:r>
        <w:t>De</w:t>
      </w:r>
      <w:r w:rsidR="00B51CFC">
        <w:t>fault color of the status LED.</w:t>
      </w:r>
    </w:p>
    <w:p w:rsidR="00A860B3" w:rsidRDefault="00A860B3" w:rsidP="00D64220">
      <w:pPr>
        <w:pStyle w:val="BodyText"/>
      </w:pPr>
      <w:r w:rsidRPr="00A860B3">
        <w:rPr>
          <w:b/>
        </w:rPr>
        <w:lastRenderedPageBreak/>
        <w:t>Parameter name:</w:t>
      </w:r>
      <w:r>
        <w:rPr>
          <w:b/>
        </w:rPr>
        <w:t xml:space="preserve"> “</w:t>
      </w:r>
      <w:r w:rsidRPr="00A860B3">
        <w:t>defaultColor</w:t>
      </w:r>
      <w:r>
        <w:t>”</w:t>
      </w:r>
    </w:p>
    <w:p w:rsidR="00BA2716" w:rsidRPr="00A860B3" w:rsidRDefault="00BA2716" w:rsidP="00D64220">
      <w:pPr>
        <w:pStyle w:val="BodyText"/>
        <w:rPr>
          <w:b/>
        </w:rPr>
      </w:pPr>
      <w:r>
        <w:rPr>
          <w:b/>
        </w:rPr>
        <w:t xml:space="preserve">Parameter values: </w:t>
      </w:r>
      <w:r w:rsidRPr="00BA2716">
        <w:t>“black”, “blue”, “red”, “yellow” and “green”</w:t>
      </w:r>
    </w:p>
    <w:p w:rsidR="00FC2C20" w:rsidRDefault="00875779" w:rsidP="00FC2C20">
      <w:pPr>
        <w:pStyle w:val="Heading3"/>
      </w:pPr>
      <w:bookmarkStart w:id="59" w:name="_Toc335038259"/>
      <w:r>
        <w:t>EnableValueInLEDText</w:t>
      </w:r>
      <w:bookmarkEnd w:id="59"/>
    </w:p>
    <w:p w:rsidR="00D64220" w:rsidRDefault="00875779" w:rsidP="00D64220">
      <w:pPr>
        <w:pStyle w:val="BodyText"/>
      </w:pPr>
      <w:r>
        <w:t>It is possible to show the value of the source data in the label of the status LED.</w:t>
      </w:r>
    </w:p>
    <w:p w:rsidR="00875779" w:rsidRDefault="00875779" w:rsidP="00D64220">
      <w:pPr>
        <w:pStyle w:val="BodyText"/>
      </w:pPr>
      <w:r w:rsidRPr="00875779">
        <w:rPr>
          <w:b/>
        </w:rPr>
        <w:t>Parameter name:</w:t>
      </w:r>
      <w:r>
        <w:rPr>
          <w:b/>
        </w:rPr>
        <w:t xml:space="preserve"> </w:t>
      </w:r>
      <w:r w:rsidRPr="00875779">
        <w:t>enableValueInLEDText</w:t>
      </w:r>
    </w:p>
    <w:p w:rsidR="00875779" w:rsidRDefault="00875779" w:rsidP="00D64220">
      <w:pPr>
        <w:pStyle w:val="BodyText"/>
      </w:pPr>
      <w:r>
        <w:rPr>
          <w:b/>
        </w:rPr>
        <w:t xml:space="preserve">Parameter values: </w:t>
      </w:r>
      <w:r w:rsidRPr="00875779">
        <w:t>“yes”, “no”</w:t>
      </w:r>
    </w:p>
    <w:p w:rsidR="00D004A1" w:rsidRDefault="006852CE" w:rsidP="00D004A1">
      <w:pPr>
        <w:pStyle w:val="Heading1"/>
      </w:pPr>
      <w:bookmarkStart w:id="60" w:name="_Toc335038260"/>
      <w:r>
        <w:t>General usage</w:t>
      </w:r>
      <w:bookmarkEnd w:id="60"/>
    </w:p>
    <w:p w:rsidR="00E652CB" w:rsidRPr="00E652CB" w:rsidRDefault="00E652CB" w:rsidP="00E652CB">
      <w:pPr>
        <w:pStyle w:val="BodyText"/>
      </w:pPr>
      <w:r>
        <w:t xml:space="preserve">The following GUI xml creates a table of two columns with a column of type statusLED and one of type string. </w:t>
      </w:r>
      <w:r w:rsidR="004E5774">
        <w:t>Let’s take a look at the highlighted part: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>&lt;Widgets xmlns='http://ttcn.ericsson.se/protocolModules/xtdp/xtdl'&gt;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&lt;window height='300.000000' id='Window' orientation='vertical' title='tc_EPTF_StatManager_Test_base' width='800.000000'&gt;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&lt;hbox flex='1.000000' orientation='horizontal'&gt;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&lt;tree flex='1.0' hidecolumnpicker='true' id='myTable'&gt;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&lt;treecols&gt;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  &lt;treecol label='Status' widgetType='statusLEDWithText'/&gt;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  &lt;treecol label='Value' widgetType='string'/&gt;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&lt;/treecols&gt;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&lt;treechildren&gt;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&lt;treeitem&gt;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 &lt;treerow&gt;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</w:t>
      </w:r>
      <w:r w:rsidRPr="00E652CB">
        <w:rPr>
          <w:rFonts w:ascii="Courier New" w:hAnsi="Courier New" w:cs="Courier New"/>
          <w:color w:val="008000"/>
          <w:sz w:val="18"/>
          <w:szCs w:val="18"/>
        </w:rPr>
        <w:t>&lt;externalvalue id='srcVar' element='sourceVar' source='StatManagerTest'&gt;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&lt;treecell&gt;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&lt;externaldata element='LEDlimit' source='StatManager' ptcname='StatManagerTest'&gt;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 &lt;params&gt;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  &lt;dataparam name='VarId' value='%srcVar::ref%'/&gt;</w:t>
      </w:r>
    </w:p>
    <w:p w:rsidR="00047BA3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lastRenderedPageBreak/>
        <w:t xml:space="preserve">                   &lt;dataparam name='</w:t>
      </w:r>
      <w:r w:rsidR="00047BA3">
        <w:rPr>
          <w:rFonts w:ascii="Courier New" w:hAnsi="Courier New" w:cs="Courier New"/>
          <w:color w:val="008000"/>
          <w:sz w:val="18"/>
          <w:szCs w:val="18"/>
        </w:rPr>
        <w:t>redLimit</w:t>
      </w:r>
      <w:r w:rsidRPr="00E652CB">
        <w:rPr>
          <w:rFonts w:ascii="Courier New" w:hAnsi="Courier New" w:cs="Courier New"/>
          <w:color w:val="008000"/>
          <w:sz w:val="18"/>
          <w:szCs w:val="18"/>
        </w:rPr>
        <w:t>' value='25.0</w:t>
      </w:r>
      <w:r w:rsidR="00047BA3" w:rsidRPr="00E652CB">
        <w:rPr>
          <w:rFonts w:ascii="Courier New" w:hAnsi="Courier New" w:cs="Courier New"/>
          <w:color w:val="008000"/>
          <w:sz w:val="18"/>
          <w:szCs w:val="18"/>
        </w:rPr>
        <w:t>'</w:t>
      </w:r>
      <w:r w:rsidR="00047BA3">
        <w:rPr>
          <w:rFonts w:ascii="Courier New" w:hAnsi="Courier New" w:cs="Courier New"/>
          <w:color w:val="008000"/>
          <w:sz w:val="18"/>
          <w:szCs w:val="18"/>
        </w:rPr>
        <w:t xml:space="preserve"> /&gt;</w:t>
      </w:r>
    </w:p>
    <w:p w:rsidR="00047BA3" w:rsidRDefault="00047BA3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ab/>
        <w:t xml:space="preserve">       </w:t>
      </w:r>
      <w:r w:rsidRPr="00E652CB">
        <w:rPr>
          <w:rFonts w:ascii="Courier New" w:hAnsi="Courier New" w:cs="Courier New"/>
          <w:color w:val="008000"/>
          <w:sz w:val="18"/>
          <w:szCs w:val="18"/>
        </w:rPr>
        <w:t>&lt;dataparam name='yellowLimit' value='5</w:t>
      </w:r>
      <w:r>
        <w:rPr>
          <w:rFonts w:ascii="Courier New" w:hAnsi="Courier New" w:cs="Courier New"/>
          <w:color w:val="008000"/>
          <w:sz w:val="18"/>
          <w:szCs w:val="18"/>
        </w:rPr>
        <w:t>0</w:t>
      </w:r>
      <w:r w:rsidRPr="00E652CB">
        <w:rPr>
          <w:rFonts w:ascii="Courier New" w:hAnsi="Courier New" w:cs="Courier New"/>
          <w:color w:val="008000"/>
          <w:sz w:val="18"/>
          <w:szCs w:val="18"/>
        </w:rPr>
        <w:t>.0'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/&gt;</w:t>
      </w:r>
    </w:p>
    <w:p w:rsidR="00D670D6" w:rsidRPr="00E652CB" w:rsidRDefault="00047BA3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ab/>
        <w:t xml:space="preserve">       </w:t>
      </w:r>
      <w:r w:rsidRPr="00E652CB">
        <w:rPr>
          <w:rFonts w:ascii="Courier New" w:hAnsi="Courier New" w:cs="Courier New"/>
          <w:color w:val="008000"/>
          <w:sz w:val="18"/>
          <w:szCs w:val="18"/>
        </w:rPr>
        <w:t>&lt;dataparam name='greenLimit' value='</w:t>
      </w:r>
      <w:r>
        <w:rPr>
          <w:rFonts w:ascii="Courier New" w:hAnsi="Courier New" w:cs="Courier New"/>
          <w:color w:val="008000"/>
          <w:sz w:val="18"/>
          <w:szCs w:val="18"/>
        </w:rPr>
        <w:t>7</w:t>
      </w:r>
      <w:r w:rsidRPr="00E652CB">
        <w:rPr>
          <w:rFonts w:ascii="Courier New" w:hAnsi="Courier New" w:cs="Courier New"/>
          <w:color w:val="008000"/>
          <w:sz w:val="18"/>
          <w:szCs w:val="18"/>
        </w:rPr>
        <w:t>5.0'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/&gt;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  &lt;dataparam name='defaultColor' value='black'/&gt;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  &lt;dataparam name='enableValueInLEDText' value='yes'/&gt;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 &lt;/params&gt;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 &lt;/externaldata&gt;</w:t>
      </w:r>
    </w:p>
    <w:p w:rsidR="00D670D6" w:rsidRPr="00E652CB" w:rsidRDefault="00D670D6" w:rsidP="00D670D6">
      <w:pPr>
        <w:pStyle w:val="BodyText"/>
        <w:rPr>
          <w:rFonts w:ascii="Courier New" w:hAnsi="Courier New" w:cs="Courier New"/>
          <w:color w:val="008000"/>
          <w:sz w:val="18"/>
          <w:szCs w:val="18"/>
        </w:rPr>
      </w:pPr>
      <w:r w:rsidRPr="00E652CB">
        <w:rPr>
          <w:rFonts w:ascii="Courier New" w:hAnsi="Courier New" w:cs="Courier New"/>
          <w:color w:val="008000"/>
          <w:sz w:val="18"/>
          <w:szCs w:val="18"/>
        </w:rPr>
        <w:t xml:space="preserve">                &lt;/treecell&gt;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    &lt;treecell label='value0'/&gt;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   &lt;/externalvalue&gt;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 &lt;/treerow&gt;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 &lt;/treeitem&gt;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 &lt;/treechildren&gt;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  &lt;/tree&gt;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     &lt;/hbox&gt;</w:t>
      </w:r>
    </w:p>
    <w:p w:rsidR="00D670D6" w:rsidRPr="00D670D6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 &lt;/window&gt;</w:t>
      </w:r>
    </w:p>
    <w:p w:rsidR="006852CE" w:rsidRDefault="00D670D6" w:rsidP="00D670D6">
      <w:pPr>
        <w:pStyle w:val="BodyText"/>
        <w:rPr>
          <w:rFonts w:ascii="Courier New" w:hAnsi="Courier New" w:cs="Courier New"/>
          <w:sz w:val="18"/>
          <w:szCs w:val="18"/>
        </w:rPr>
      </w:pPr>
      <w:r w:rsidRPr="00D670D6">
        <w:rPr>
          <w:rFonts w:ascii="Courier New" w:hAnsi="Courier New" w:cs="Courier New"/>
          <w:sz w:val="18"/>
          <w:szCs w:val="18"/>
        </w:rPr>
        <w:t xml:space="preserve">  &lt;/Widgets&gt;</w:t>
      </w:r>
    </w:p>
    <w:p w:rsidR="00CA3C79" w:rsidRDefault="00CA3C79" w:rsidP="00D670D6">
      <w:pPr>
        <w:pStyle w:val="BodyText"/>
      </w:pPr>
      <w:r>
        <w:t xml:space="preserve">It specifies the first cell of the table which is a statusLED. It uses the StatManager feature to retrieve a statusLED that is connected to a source variable specified by the external value. The color of the </w:t>
      </w:r>
      <w:r w:rsidR="00D03202">
        <w:t>LED</w:t>
      </w:r>
      <w:r>
        <w:t xml:space="preserve"> will be red if the source variable’s value exceeds 25.0, yellow above 50.0 and green above 75.0.</w:t>
      </w:r>
      <w:r w:rsidR="00F70078">
        <w:t xml:space="preserve"> The default color is set to black and the value of the source parameter will be printed in the label of the statusLED widget.</w:t>
      </w:r>
    </w:p>
    <w:p w:rsidR="00D03202" w:rsidRPr="006852CE" w:rsidRDefault="00D03202" w:rsidP="00D670D6">
      <w:pPr>
        <w:pStyle w:val="BodyText"/>
      </w:pPr>
      <w:r>
        <w:t xml:space="preserve">Note! If we wanted to specify a reference data, we could do that the same way as we </w:t>
      </w:r>
      <w:r w:rsidR="00D93BB4">
        <w:t>did it in case of the source data</w:t>
      </w:r>
      <w:r w:rsidR="00211186">
        <w:t>.</w:t>
      </w:r>
      <w:r w:rsidR="00D93BB4">
        <w:t xml:space="preserve"> </w:t>
      </w:r>
      <w:r w:rsidR="00211186">
        <w:t xml:space="preserve">We </w:t>
      </w:r>
      <w:r w:rsidR="00D93BB4">
        <w:t>specif</w:t>
      </w:r>
      <w:r w:rsidR="00211186">
        <w:t>ied</w:t>
      </w:r>
      <w:r w:rsidR="00D93BB4">
        <w:t xml:space="preserve"> it via externalvalue</w:t>
      </w:r>
      <w:r w:rsidR="00211186">
        <w:t xml:space="preserve"> and queried</w:t>
      </w:r>
      <w:r w:rsidR="00EF5D26">
        <w:t xml:space="preserve"> the id</w:t>
      </w:r>
      <w:r w:rsidR="00F001A3">
        <w:t>(</w:t>
      </w:r>
      <w:r w:rsidR="00F001A3" w:rsidRPr="00EF5D26">
        <w:t xml:space="preserve"> </w:t>
      </w:r>
      <w:r w:rsidR="00F001A3">
        <w:t>‘</w:t>
      </w:r>
      <w:r w:rsidR="00F001A3" w:rsidRPr="00EF5D26">
        <w:t>%srcVar::ref%</w:t>
      </w:r>
      <w:r w:rsidR="00F001A3">
        <w:t>’)</w:t>
      </w:r>
      <w:r w:rsidR="00EF5D26">
        <w:t xml:space="preserve"> of it in the ‘VarId’ parameter of the ‘LEDlimit’ externaldata</w:t>
      </w:r>
      <w:r w:rsidR="00625F3B">
        <w:t>.</w:t>
      </w:r>
    </w:p>
    <w:p w:rsidR="001F5265" w:rsidRPr="00B12E45" w:rsidRDefault="001F5265" w:rsidP="006B546D">
      <w:pPr>
        <w:pStyle w:val="Heading1"/>
      </w:pPr>
      <w:bookmarkStart w:id="61" w:name="_Ref159665780"/>
      <w:bookmarkStart w:id="62" w:name="_Toc187641171"/>
      <w:bookmarkStart w:id="63" w:name="_Toc335038261"/>
      <w:r w:rsidRPr="00B12E45">
        <w:t xml:space="preserve">Functional </w:t>
      </w:r>
      <w:bookmarkEnd w:id="61"/>
      <w:r w:rsidR="001A44A8" w:rsidRPr="00B12E45">
        <w:t>Interface</w:t>
      </w:r>
      <w:bookmarkEnd w:id="62"/>
      <w:bookmarkEnd w:id="63"/>
    </w:p>
    <w:p w:rsidR="00B05CF7" w:rsidRPr="00B12E45" w:rsidRDefault="00B05CF7" w:rsidP="00FC7F37">
      <w:pPr>
        <w:pStyle w:val="BodyText"/>
        <w:jc w:val="both"/>
      </w:pPr>
      <w:r w:rsidRPr="00B12E45">
        <w:t xml:space="preserve">Apart from this description a </w:t>
      </w:r>
      <w:r w:rsidR="0055496D" w:rsidRPr="00B12E45">
        <w:t xml:space="preserve">cross-linked </w:t>
      </w:r>
      <w:r w:rsidRPr="00B12E45">
        <w:t>reference guide for the TitanSim CLL Functions</w:t>
      </w:r>
      <w:r w:rsidR="0055496D" w:rsidRPr="00B12E45">
        <w:t xml:space="preserve"> can be reached for on-line reading</w:t>
      </w:r>
      <w:r w:rsidRPr="00B12E45">
        <w:t xml:space="preserve"> </w:t>
      </w:r>
      <w:r w:rsidRPr="00B12E45">
        <w:fldChar w:fldCharType="begin"/>
      </w:r>
      <w:r w:rsidRPr="00B12E45">
        <w:instrText xml:space="preserve"> REF _Ref182890383 \r \h </w:instrText>
      </w:r>
      <w:r w:rsidR="00FC7F37" w:rsidRPr="00B12E45">
        <w:instrText xml:space="preserve"> \* MERGEFORMAT </w:instrText>
      </w:r>
      <w:r w:rsidRPr="00B12E45">
        <w:fldChar w:fldCharType="separate"/>
      </w:r>
      <w:r w:rsidR="008C36AF">
        <w:rPr>
          <w:cs/>
        </w:rPr>
        <w:t>‎</w:t>
      </w:r>
      <w:r w:rsidR="008C36AF">
        <w:t>[5]</w:t>
      </w:r>
      <w:r w:rsidRPr="00B12E45">
        <w:fldChar w:fldCharType="end"/>
      </w:r>
      <w:r w:rsidRPr="00B12E45">
        <w:t>.</w:t>
      </w:r>
    </w:p>
    <w:p w:rsidR="001A44A8" w:rsidRPr="00B12E45" w:rsidRDefault="001A44A8" w:rsidP="002B5B52">
      <w:pPr>
        <w:pStyle w:val="Heading2"/>
        <w:jc w:val="both"/>
      </w:pPr>
      <w:bookmarkStart w:id="64" w:name="_Toc187641172"/>
      <w:bookmarkStart w:id="65" w:name="_Toc335038262"/>
      <w:r w:rsidRPr="00B12E45">
        <w:lastRenderedPageBreak/>
        <w:t>Naming Conventions</w:t>
      </w:r>
      <w:bookmarkEnd w:id="64"/>
      <w:bookmarkEnd w:id="65"/>
    </w:p>
    <w:p w:rsidR="00961D37" w:rsidRPr="005573BC" w:rsidRDefault="00961D37" w:rsidP="00323AAD">
      <w:pPr>
        <w:pStyle w:val="BodyText"/>
        <w:jc w:val="both"/>
      </w:pPr>
      <w:r w:rsidRPr="00B12E45">
        <w:t>All functions have the prefix</w:t>
      </w:r>
      <w:r w:rsidR="00D109B8" w:rsidRPr="00B12E45">
        <w:rPr>
          <w:color w:val="0000FF"/>
        </w:rPr>
        <w:t xml:space="preserve"> </w:t>
      </w:r>
      <w:r w:rsidRPr="00B12E45">
        <w:rPr>
          <w:rFonts w:ascii="Courier New" w:hAnsi="Courier New" w:cs="Courier New"/>
        </w:rPr>
        <w:t>f_EPTF_</w:t>
      </w:r>
      <w:r w:rsidR="008C6A6E" w:rsidRPr="00B12E45">
        <w:rPr>
          <w:rFonts w:ascii="Courier New" w:hAnsi="Courier New" w:cs="Courier New"/>
        </w:rPr>
        <w:t>Stat</w:t>
      </w:r>
      <w:r w:rsidR="00323AAD" w:rsidRPr="00B12E45">
        <w:rPr>
          <w:rFonts w:ascii="Courier New" w:hAnsi="Courier New" w:cs="Courier New"/>
        </w:rPr>
        <w:t>M</w:t>
      </w:r>
      <w:r w:rsidR="00D3506A">
        <w:rPr>
          <w:rFonts w:ascii="Courier New" w:hAnsi="Courier New" w:cs="Courier New"/>
        </w:rPr>
        <w:t>anager</w:t>
      </w:r>
      <w:r w:rsidRPr="00B12E45">
        <w:rPr>
          <w:rFonts w:ascii="Courier New" w:hAnsi="Courier New" w:cs="Courier New"/>
        </w:rPr>
        <w:t>_</w:t>
      </w:r>
    </w:p>
    <w:p w:rsidR="001A44A8" w:rsidRDefault="00D66362" w:rsidP="002B5B52">
      <w:pPr>
        <w:pStyle w:val="Heading2"/>
        <w:jc w:val="both"/>
      </w:pPr>
      <w:bookmarkStart w:id="66" w:name="_Toc187641173"/>
      <w:bookmarkStart w:id="67" w:name="_Toc335038263"/>
      <w:r>
        <w:t xml:space="preserve">General </w:t>
      </w:r>
      <w:r w:rsidR="001A44A8" w:rsidRPr="00B12E45">
        <w:t>Public Functions</w:t>
      </w:r>
      <w:bookmarkEnd w:id="66"/>
      <w:bookmarkEnd w:id="67"/>
    </w:p>
    <w:p w:rsidR="001A44A8" w:rsidRPr="00B12E45" w:rsidRDefault="001A44A8" w:rsidP="002B5B52">
      <w:pPr>
        <w:pStyle w:val="Heading3"/>
        <w:jc w:val="both"/>
      </w:pPr>
      <w:bookmarkStart w:id="68" w:name="_Toc187641174"/>
      <w:bookmarkStart w:id="69" w:name="_Toc335038264"/>
      <w:r w:rsidRPr="00B12E45">
        <w:t>Initialization</w:t>
      </w:r>
      <w:bookmarkEnd w:id="68"/>
      <w:bookmarkEnd w:id="69"/>
    </w:p>
    <w:p w:rsidR="00567B72" w:rsidRPr="00B12E45" w:rsidRDefault="00567B72" w:rsidP="00C03F44">
      <w:pPr>
        <w:pStyle w:val="BodyText"/>
        <w:jc w:val="both"/>
      </w:pPr>
      <w:r w:rsidRPr="00B12E45">
        <w:t xml:space="preserve">Before using the EPTF </w:t>
      </w:r>
      <w:r w:rsidR="0024096C" w:rsidRPr="00B12E45">
        <w:t xml:space="preserve">Statistics </w:t>
      </w:r>
      <w:r w:rsidR="00C03F44" w:rsidRPr="00B12E45">
        <w:t>M</w:t>
      </w:r>
      <w:r w:rsidR="00AF5B92">
        <w:t>anager</w:t>
      </w:r>
      <w:r w:rsidR="005450F2" w:rsidRPr="00B12E45">
        <w:t xml:space="preserve"> </w:t>
      </w:r>
      <w:r w:rsidR="00615E93">
        <w:t>feature</w:t>
      </w:r>
      <w:r w:rsidRPr="00B12E45">
        <w:t xml:space="preserve"> the</w:t>
      </w:r>
    </w:p>
    <w:p w:rsidR="00AF5B92" w:rsidRPr="00AF5B92" w:rsidRDefault="005450F2" w:rsidP="00AF5B92">
      <w:pPr>
        <w:pStyle w:val="BodyText"/>
        <w:jc w:val="both"/>
      </w:pPr>
      <w:r w:rsidRPr="00B12E45">
        <w:t>f_EPTF_</w:t>
      </w:r>
      <w:r w:rsidR="008C6A6E" w:rsidRPr="00B12E45">
        <w:t>Stat</w:t>
      </w:r>
      <w:r w:rsidR="0054035E" w:rsidRPr="00B12E45">
        <w:t>M</w:t>
      </w:r>
      <w:r w:rsidR="00AF5B92">
        <w:t>anager</w:t>
      </w:r>
      <w:r w:rsidRPr="00B12E45">
        <w:t>_init_CT(component</w:t>
      </w:r>
      <w:r w:rsidR="00887F6D" w:rsidRPr="00B12E45">
        <w:t>N</w:t>
      </w:r>
      <w:r w:rsidRPr="00B12E45">
        <w:t>ame)</w:t>
      </w:r>
    </w:p>
    <w:p w:rsidR="00567B72" w:rsidRPr="00B12E45" w:rsidRDefault="00567B72" w:rsidP="0054035E">
      <w:pPr>
        <w:pStyle w:val="BodyText"/>
        <w:jc w:val="both"/>
      </w:pPr>
      <w:r w:rsidRPr="00B12E45">
        <w:t xml:space="preserve">function should be called. This initializes the EPTF </w:t>
      </w:r>
      <w:r w:rsidR="00882EC3" w:rsidRPr="00B12E45">
        <w:t xml:space="preserve">Statistics </w:t>
      </w:r>
      <w:r w:rsidR="0054035E" w:rsidRPr="00B12E45">
        <w:t>M</w:t>
      </w:r>
      <w:r w:rsidR="000B2EBC">
        <w:t>anager</w:t>
      </w:r>
      <w:r w:rsidR="0054035E" w:rsidRPr="00B12E45">
        <w:t xml:space="preserve"> </w:t>
      </w:r>
      <w:r w:rsidRPr="00B12E45">
        <w:t>feature.</w:t>
      </w:r>
      <w:r w:rsidR="00D42800">
        <w:t xml:space="preserve"> Currently this is the only API function of the feature. No other functions need to be called to use it.</w:t>
      </w:r>
    </w:p>
    <w:sectPr w:rsidR="00567B72" w:rsidRPr="00B12E45" w:rsidSect="002B5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6E0" w:rsidRDefault="00F556E0">
      <w:r>
        <w:separator/>
      </w:r>
    </w:p>
  </w:endnote>
  <w:endnote w:type="continuationSeparator" w:id="0">
    <w:p w:rsidR="00F556E0" w:rsidRDefault="00F5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6E0" w:rsidRDefault="00F556E0">
      <w:r>
        <w:separator/>
      </w:r>
    </w:p>
  </w:footnote>
  <w:footnote w:type="continuationSeparator" w:id="0">
    <w:p w:rsidR="00F556E0" w:rsidRDefault="00F5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693BCD" w:rsidRPr="00143D51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693BCD" w:rsidRPr="00143D51" w:rsidRDefault="00693BC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693BCD" w:rsidRPr="00143D51" w:rsidRDefault="00693BCD">
          <w:pPr>
            <w:pStyle w:val="Header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"Information"  \* MERGEFORMAT </w:instrText>
          </w:r>
          <w:r w:rsidRPr="00143D51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693BCD" w:rsidRPr="00143D51" w:rsidRDefault="00693BCD">
          <w:pPr>
            <w:pStyle w:val="Header"/>
            <w:rPr>
              <w:sz w:val="20"/>
            </w:rPr>
          </w:pPr>
        </w:p>
      </w:tc>
    </w:tr>
    <w:tr w:rsidR="00693BCD" w:rsidRPr="00143D51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693BCD" w:rsidRPr="00143D51" w:rsidRDefault="004E52E3">
          <w:pPr>
            <w:pStyle w:val="Header"/>
            <w:spacing w:before="40"/>
          </w:pPr>
          <w:r w:rsidRPr="00143D51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"SecurityClass"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Limited Internal</w:t>
          </w:r>
          <w:r w:rsidRPr="00143D51">
            <w:rPr>
              <w:sz w:val="20"/>
            </w:rPr>
            <w:fldChar w:fldCharType="end"/>
          </w:r>
        </w:p>
        <w:p w:rsidR="00693BCD" w:rsidRPr="00143D51" w:rsidRDefault="00693BCD">
          <w:pPr>
            <w:pStyle w:val="Header"/>
            <w:spacing w:before="40"/>
            <w:rPr>
              <w:caps/>
              <w:sz w:val="20"/>
            </w:rPr>
          </w:pPr>
          <w:r w:rsidRPr="00143D51">
            <w:rPr>
              <w:caps/>
              <w:sz w:val="20"/>
            </w:rPr>
            <w:fldChar w:fldCharType="begin"/>
          </w:r>
          <w:r w:rsidRPr="00143D51">
            <w:rPr>
              <w:caps/>
              <w:sz w:val="20"/>
            </w:rPr>
            <w:instrText xml:space="preserve"> DOCPROPERTY "DocName"  \* MERGEFORMAT </w:instrText>
          </w:r>
          <w:r w:rsidRPr="00143D51">
            <w:rPr>
              <w:caps/>
              <w:sz w:val="20"/>
            </w:rPr>
            <w:fldChar w:fldCharType="separate"/>
          </w:r>
          <w:r w:rsidR="00143D51" w:rsidRPr="00143D51">
            <w:rPr>
              <w:caps/>
              <w:sz w:val="20"/>
            </w:rPr>
            <w:t>FUNCTION DESCRIPTION</w:t>
          </w:r>
          <w:r w:rsidRPr="00143D51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693BCD" w:rsidRPr="00143D51" w:rsidRDefault="00693BCD">
          <w:pPr>
            <w:pStyle w:val="Header"/>
            <w:spacing w:before="40"/>
            <w:jc w:val="right"/>
            <w:rPr>
              <w:sz w:val="20"/>
            </w:rPr>
          </w:pPr>
        </w:p>
        <w:p w:rsidR="00693BCD" w:rsidRPr="00143D51" w:rsidRDefault="00693BCD">
          <w:pPr>
            <w:pStyle w:val="Header"/>
            <w:spacing w:before="40"/>
            <w:jc w:val="right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>\PAGE arab</w:instrText>
          </w:r>
          <w:r w:rsidRPr="00143D51">
            <w:rPr>
              <w:sz w:val="20"/>
            </w:rPr>
            <w:fldChar w:fldCharType="separate"/>
          </w:r>
          <w:r w:rsidR="004E52E3">
            <w:rPr>
              <w:sz w:val="20"/>
            </w:rPr>
            <w:t>1</w:t>
          </w:r>
          <w:r w:rsidRPr="00143D51">
            <w:rPr>
              <w:sz w:val="20"/>
            </w:rPr>
            <w:fldChar w:fldCharType="end"/>
          </w:r>
          <w:r w:rsidRPr="00143D51">
            <w:rPr>
              <w:sz w:val="20"/>
            </w:rPr>
            <w:t xml:space="preserve"> (</w:t>
          </w: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\NUMPAGES </w:instrText>
          </w:r>
          <w:r w:rsidRPr="00143D51">
            <w:rPr>
              <w:sz w:val="20"/>
            </w:rPr>
            <w:fldChar w:fldCharType="separate"/>
          </w:r>
          <w:r w:rsidR="004E52E3">
            <w:rPr>
              <w:sz w:val="20"/>
            </w:rPr>
            <w:t>7</w:t>
          </w:r>
          <w:r w:rsidRPr="00143D51">
            <w:rPr>
              <w:sz w:val="20"/>
            </w:rPr>
            <w:fldChar w:fldCharType="end"/>
          </w:r>
          <w:r w:rsidRPr="00143D51">
            <w:rPr>
              <w:sz w:val="20"/>
            </w:rPr>
            <w:t>)</w:t>
          </w:r>
        </w:p>
      </w:tc>
    </w:tr>
    <w:tr w:rsidR="00693BCD" w:rsidRPr="00143D5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93BCD" w:rsidRPr="00143D51" w:rsidRDefault="00693BCD">
          <w:pPr>
            <w:pStyle w:val="NoSpellcheck"/>
          </w:pPr>
          <w:r w:rsidRPr="00143D51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693BCD" w:rsidRPr="00143D51" w:rsidRDefault="00693BCD">
          <w:pPr>
            <w:pStyle w:val="NoSpellcheck"/>
          </w:pPr>
          <w:r w:rsidRPr="00143D51">
            <w:t>No.</w:t>
          </w:r>
        </w:p>
      </w:tc>
    </w:tr>
    <w:tr w:rsidR="00693BCD" w:rsidRPr="00143D5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693BCD" w:rsidRPr="00143D51" w:rsidRDefault="00693BC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"Prepared"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ETH/XZD Balázs Lugossy(+36 30 491 8683)</w:t>
          </w:r>
          <w:r w:rsidRPr="00143D51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"DocNo"  "LangCode"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34/155 16-CNL 113 512 Uen</w:t>
          </w:r>
          <w:r w:rsidRPr="00143D51">
            <w:rPr>
              <w:sz w:val="20"/>
            </w:rPr>
            <w:fldChar w:fldCharType="end"/>
          </w:r>
        </w:p>
      </w:tc>
    </w:tr>
    <w:tr w:rsidR="00693BCD" w:rsidRPr="00143D5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93BCD" w:rsidRPr="00143D51" w:rsidRDefault="00693BCD">
          <w:pPr>
            <w:pStyle w:val="NoSpellcheck"/>
          </w:pPr>
          <w:r w:rsidRPr="00143D51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693BCD" w:rsidRPr="00143D51" w:rsidRDefault="00693BCD">
          <w:pPr>
            <w:pStyle w:val="NoSpellcheck"/>
          </w:pPr>
          <w:r w:rsidRPr="00143D51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693BCD" w:rsidRPr="00143D51" w:rsidRDefault="00693BCD">
          <w:pPr>
            <w:pStyle w:val="NoSpellcheck"/>
          </w:pPr>
          <w:r w:rsidRPr="00143D51">
            <w:t>Date</w:t>
          </w:r>
        </w:p>
      </w:tc>
      <w:tc>
        <w:tcPr>
          <w:tcW w:w="964" w:type="dxa"/>
        </w:tcPr>
        <w:p w:rsidR="00693BCD" w:rsidRPr="00143D51" w:rsidRDefault="00693BCD">
          <w:pPr>
            <w:pStyle w:val="NoSpellcheck"/>
          </w:pPr>
          <w:r w:rsidRPr="00143D51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693BCD" w:rsidRPr="00143D51" w:rsidRDefault="00693BCD">
          <w:pPr>
            <w:pStyle w:val="NoSpellcheck"/>
          </w:pPr>
          <w:r w:rsidRPr="00143D51">
            <w:t>Reference</w:t>
          </w:r>
        </w:p>
      </w:tc>
    </w:tr>
    <w:tr w:rsidR="00693BCD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"ApprovedBy"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ETH/XZDC (Norbert Pintér)</w:t>
          </w:r>
          <w:r w:rsidRPr="00143D51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"Checked" \* MERGEFORMAT </w:instrText>
          </w:r>
          <w:r w:rsidRPr="00143D51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"Date"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2012-09-10</w:t>
          </w:r>
          <w:r w:rsidRPr="00143D51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"Revision"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B</w:t>
          </w:r>
          <w:r w:rsidRPr="00143D51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693BCD" w:rsidRPr="00143D51" w:rsidRDefault="00693BCD">
          <w:pPr>
            <w:pStyle w:val="Header"/>
            <w:spacing w:before="40"/>
            <w:rPr>
              <w:sz w:val="20"/>
            </w:rPr>
          </w:pPr>
          <w:r w:rsidRPr="00143D51">
            <w:rPr>
              <w:sz w:val="20"/>
            </w:rPr>
            <w:fldChar w:fldCharType="begin"/>
          </w:r>
          <w:r w:rsidRPr="00143D51">
            <w:rPr>
              <w:sz w:val="20"/>
            </w:rPr>
            <w:instrText xml:space="preserve"> DOCPROPERTY "Reference" \* MERGEFORMAT </w:instrText>
          </w:r>
          <w:r w:rsidRPr="00143D51">
            <w:rPr>
              <w:sz w:val="20"/>
            </w:rPr>
            <w:fldChar w:fldCharType="separate"/>
          </w:r>
          <w:r w:rsidR="00143D51" w:rsidRPr="00143D51">
            <w:rPr>
              <w:sz w:val="20"/>
            </w:rPr>
            <w:t>GASK2</w:t>
          </w:r>
          <w:r w:rsidRPr="00143D51">
            <w:rPr>
              <w:sz w:val="20"/>
            </w:rPr>
            <w:fldChar w:fldCharType="end"/>
          </w:r>
        </w:p>
      </w:tc>
    </w:tr>
  </w:tbl>
  <w:p w:rsidR="00693BCD" w:rsidRDefault="00693B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BCD" w:rsidRDefault="00693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7054AD9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443"/>
        </w:tabs>
        <w:ind w:left="4994" w:hanging="1304"/>
      </w:pPr>
      <w:rPr>
        <w:rFonts w:hint="default"/>
        <w:color w:val="auto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77693A"/>
    <w:multiLevelType w:val="hybridMultilevel"/>
    <w:tmpl w:val="6FB4D44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4E5099"/>
    <w:multiLevelType w:val="hybridMultilevel"/>
    <w:tmpl w:val="A5BC8E7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174B52FE"/>
    <w:multiLevelType w:val="multilevel"/>
    <w:tmpl w:val="58F8BBEE"/>
    <w:lvl w:ilvl="0">
      <w:start w:val="1"/>
      <w:numFmt w:val="bullet"/>
      <w:pStyle w:val="ListBullet"/>
      <w:lvlText w:val=""/>
      <w:lvlJc w:val="left"/>
      <w:pPr>
        <w:tabs>
          <w:tab w:val="num" w:pos="3242"/>
        </w:tabs>
        <w:ind w:left="3242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602"/>
        </w:tabs>
        <w:ind w:left="3583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943"/>
        </w:tabs>
        <w:ind w:left="3923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4311"/>
        </w:tabs>
        <w:ind w:left="4291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694"/>
        </w:tabs>
        <w:ind w:left="4694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333"/>
        </w:tabs>
        <w:ind w:left="333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33"/>
        </w:tabs>
        <w:ind w:left="333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3"/>
        </w:tabs>
        <w:ind w:left="333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33"/>
        </w:tabs>
        <w:ind w:left="3333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10C0381"/>
    <w:multiLevelType w:val="hybridMultilevel"/>
    <w:tmpl w:val="3CF0167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60E3179"/>
    <w:multiLevelType w:val="multilevel"/>
    <w:tmpl w:val="F602735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3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7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4"/>
  </w:num>
  <w:num w:numId="6">
    <w:abstractNumId w:val="21"/>
  </w:num>
  <w:num w:numId="7">
    <w:abstractNumId w:val="16"/>
  </w:num>
  <w:num w:numId="8">
    <w:abstractNumId w:val="3"/>
  </w:num>
  <w:num w:numId="9">
    <w:abstractNumId w:val="10"/>
  </w:num>
  <w:num w:numId="10">
    <w:abstractNumId w:val="9"/>
  </w:num>
  <w:num w:numId="11">
    <w:abstractNumId w:val="18"/>
  </w:num>
  <w:num w:numId="12">
    <w:abstractNumId w:val="6"/>
  </w:num>
  <w:num w:numId="13">
    <w:abstractNumId w:val="13"/>
  </w:num>
  <w:num w:numId="14">
    <w:abstractNumId w:val="20"/>
  </w:num>
  <w:num w:numId="15">
    <w:abstractNumId w:val="15"/>
  </w:num>
  <w:num w:numId="16">
    <w:abstractNumId w:val="8"/>
  </w:num>
  <w:num w:numId="17">
    <w:abstractNumId w:val="19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7"/>
  </w:num>
  <w:num w:numId="21">
    <w:abstractNumId w:val="11"/>
  </w:num>
  <w:num w:numId="22">
    <w:abstractNumId w:val="7"/>
  </w:num>
  <w:num w:numId="2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17A0"/>
    <w:rsid w:val="00004240"/>
    <w:rsid w:val="0000544C"/>
    <w:rsid w:val="00005FFF"/>
    <w:rsid w:val="00010E9A"/>
    <w:rsid w:val="000216C2"/>
    <w:rsid w:val="000217C1"/>
    <w:rsid w:val="00023025"/>
    <w:rsid w:val="00024153"/>
    <w:rsid w:val="0003623C"/>
    <w:rsid w:val="000363CF"/>
    <w:rsid w:val="00041163"/>
    <w:rsid w:val="00041321"/>
    <w:rsid w:val="00043F60"/>
    <w:rsid w:val="00044794"/>
    <w:rsid w:val="00047BA3"/>
    <w:rsid w:val="0005281E"/>
    <w:rsid w:val="00052B56"/>
    <w:rsid w:val="00056C9D"/>
    <w:rsid w:val="00057DCA"/>
    <w:rsid w:val="00060249"/>
    <w:rsid w:val="0006099F"/>
    <w:rsid w:val="00061718"/>
    <w:rsid w:val="00064D94"/>
    <w:rsid w:val="00065D55"/>
    <w:rsid w:val="00070FBB"/>
    <w:rsid w:val="0007340B"/>
    <w:rsid w:val="0007563E"/>
    <w:rsid w:val="00081610"/>
    <w:rsid w:val="00085881"/>
    <w:rsid w:val="000922E5"/>
    <w:rsid w:val="00092573"/>
    <w:rsid w:val="000933B9"/>
    <w:rsid w:val="00096436"/>
    <w:rsid w:val="0009667A"/>
    <w:rsid w:val="000A353F"/>
    <w:rsid w:val="000A5BF3"/>
    <w:rsid w:val="000A67DB"/>
    <w:rsid w:val="000B22E6"/>
    <w:rsid w:val="000B2EBC"/>
    <w:rsid w:val="000B3817"/>
    <w:rsid w:val="000B4613"/>
    <w:rsid w:val="000B5DCA"/>
    <w:rsid w:val="000C6279"/>
    <w:rsid w:val="000C67C0"/>
    <w:rsid w:val="000C694D"/>
    <w:rsid w:val="000D5EAC"/>
    <w:rsid w:val="000E0802"/>
    <w:rsid w:val="000E2A8F"/>
    <w:rsid w:val="000E2BA4"/>
    <w:rsid w:val="000F0C8B"/>
    <w:rsid w:val="000F115F"/>
    <w:rsid w:val="000F71D7"/>
    <w:rsid w:val="00100CD7"/>
    <w:rsid w:val="00101D47"/>
    <w:rsid w:val="00107EAE"/>
    <w:rsid w:val="001110BC"/>
    <w:rsid w:val="00111C83"/>
    <w:rsid w:val="00113682"/>
    <w:rsid w:val="00120198"/>
    <w:rsid w:val="0012278C"/>
    <w:rsid w:val="00123160"/>
    <w:rsid w:val="001361C4"/>
    <w:rsid w:val="00140112"/>
    <w:rsid w:val="00140F77"/>
    <w:rsid w:val="0014167E"/>
    <w:rsid w:val="00142C15"/>
    <w:rsid w:val="0014303F"/>
    <w:rsid w:val="00143D51"/>
    <w:rsid w:val="001444B1"/>
    <w:rsid w:val="00144B76"/>
    <w:rsid w:val="00146E51"/>
    <w:rsid w:val="001534A4"/>
    <w:rsid w:val="001548CD"/>
    <w:rsid w:val="00154DAA"/>
    <w:rsid w:val="00155575"/>
    <w:rsid w:val="001604CE"/>
    <w:rsid w:val="001607A3"/>
    <w:rsid w:val="00161F8B"/>
    <w:rsid w:val="001655B6"/>
    <w:rsid w:val="00170BA6"/>
    <w:rsid w:val="00170FD0"/>
    <w:rsid w:val="00171F41"/>
    <w:rsid w:val="00172C9C"/>
    <w:rsid w:val="00174009"/>
    <w:rsid w:val="00180757"/>
    <w:rsid w:val="00183566"/>
    <w:rsid w:val="00191ADD"/>
    <w:rsid w:val="001949DE"/>
    <w:rsid w:val="001A3A77"/>
    <w:rsid w:val="001A3C4E"/>
    <w:rsid w:val="001A44A8"/>
    <w:rsid w:val="001A5BD7"/>
    <w:rsid w:val="001B0D35"/>
    <w:rsid w:val="001B30A9"/>
    <w:rsid w:val="001B3B11"/>
    <w:rsid w:val="001B7224"/>
    <w:rsid w:val="001C5E4D"/>
    <w:rsid w:val="001D41F9"/>
    <w:rsid w:val="001E12F4"/>
    <w:rsid w:val="001E2B10"/>
    <w:rsid w:val="001F1C26"/>
    <w:rsid w:val="001F33AD"/>
    <w:rsid w:val="001F3D44"/>
    <w:rsid w:val="001F5265"/>
    <w:rsid w:val="0020041B"/>
    <w:rsid w:val="00201BC3"/>
    <w:rsid w:val="00203191"/>
    <w:rsid w:val="0020387D"/>
    <w:rsid w:val="00205B64"/>
    <w:rsid w:val="00207E39"/>
    <w:rsid w:val="00210DD7"/>
    <w:rsid w:val="00211186"/>
    <w:rsid w:val="00211802"/>
    <w:rsid w:val="002118E9"/>
    <w:rsid w:val="00213CA0"/>
    <w:rsid w:val="00233A30"/>
    <w:rsid w:val="0024096C"/>
    <w:rsid w:val="002457D9"/>
    <w:rsid w:val="0024785E"/>
    <w:rsid w:val="00247D0A"/>
    <w:rsid w:val="00250FEE"/>
    <w:rsid w:val="00251ACC"/>
    <w:rsid w:val="002533F3"/>
    <w:rsid w:val="002537E1"/>
    <w:rsid w:val="00254B3B"/>
    <w:rsid w:val="0025547F"/>
    <w:rsid w:val="0025637E"/>
    <w:rsid w:val="00260612"/>
    <w:rsid w:val="00261DC3"/>
    <w:rsid w:val="00263A62"/>
    <w:rsid w:val="00264055"/>
    <w:rsid w:val="00265547"/>
    <w:rsid w:val="00266DB7"/>
    <w:rsid w:val="0027380F"/>
    <w:rsid w:val="00275D38"/>
    <w:rsid w:val="002778C2"/>
    <w:rsid w:val="00280FFF"/>
    <w:rsid w:val="00282199"/>
    <w:rsid w:val="00283AA5"/>
    <w:rsid w:val="00283E65"/>
    <w:rsid w:val="00283E88"/>
    <w:rsid w:val="00285144"/>
    <w:rsid w:val="00285C13"/>
    <w:rsid w:val="00286FCA"/>
    <w:rsid w:val="00287A8F"/>
    <w:rsid w:val="00290F3E"/>
    <w:rsid w:val="00291228"/>
    <w:rsid w:val="00295F05"/>
    <w:rsid w:val="002A2AB4"/>
    <w:rsid w:val="002B1AEA"/>
    <w:rsid w:val="002B260E"/>
    <w:rsid w:val="002B50AC"/>
    <w:rsid w:val="002B5B52"/>
    <w:rsid w:val="002B6CAD"/>
    <w:rsid w:val="002C2951"/>
    <w:rsid w:val="002C3D01"/>
    <w:rsid w:val="002D54FE"/>
    <w:rsid w:val="002D65FC"/>
    <w:rsid w:val="002D7377"/>
    <w:rsid w:val="002E04A6"/>
    <w:rsid w:val="002E22D4"/>
    <w:rsid w:val="002F2043"/>
    <w:rsid w:val="002F4FCA"/>
    <w:rsid w:val="002F4FFC"/>
    <w:rsid w:val="00301F59"/>
    <w:rsid w:val="0030232B"/>
    <w:rsid w:val="00302ECF"/>
    <w:rsid w:val="003033CA"/>
    <w:rsid w:val="00303759"/>
    <w:rsid w:val="003045D5"/>
    <w:rsid w:val="00306F21"/>
    <w:rsid w:val="0031244D"/>
    <w:rsid w:val="00323AAD"/>
    <w:rsid w:val="003242AE"/>
    <w:rsid w:val="003249BC"/>
    <w:rsid w:val="003254DD"/>
    <w:rsid w:val="00325648"/>
    <w:rsid w:val="003258F7"/>
    <w:rsid w:val="00327FB2"/>
    <w:rsid w:val="003305C1"/>
    <w:rsid w:val="00330A94"/>
    <w:rsid w:val="003336B1"/>
    <w:rsid w:val="00342347"/>
    <w:rsid w:val="00345FC7"/>
    <w:rsid w:val="00346B8B"/>
    <w:rsid w:val="0035038D"/>
    <w:rsid w:val="0035256C"/>
    <w:rsid w:val="00353BC7"/>
    <w:rsid w:val="003550E7"/>
    <w:rsid w:val="00361C2C"/>
    <w:rsid w:val="00365416"/>
    <w:rsid w:val="003662F1"/>
    <w:rsid w:val="00370C62"/>
    <w:rsid w:val="00370F2F"/>
    <w:rsid w:val="003725D8"/>
    <w:rsid w:val="00383528"/>
    <w:rsid w:val="00385505"/>
    <w:rsid w:val="00390F40"/>
    <w:rsid w:val="00391478"/>
    <w:rsid w:val="00395637"/>
    <w:rsid w:val="00397EDD"/>
    <w:rsid w:val="003A0055"/>
    <w:rsid w:val="003A16B0"/>
    <w:rsid w:val="003A482B"/>
    <w:rsid w:val="003A5718"/>
    <w:rsid w:val="003B1398"/>
    <w:rsid w:val="003B2A8C"/>
    <w:rsid w:val="003B7AA3"/>
    <w:rsid w:val="003C2A34"/>
    <w:rsid w:val="003C4038"/>
    <w:rsid w:val="003C4AC4"/>
    <w:rsid w:val="003D1C69"/>
    <w:rsid w:val="003D744D"/>
    <w:rsid w:val="003E00FA"/>
    <w:rsid w:val="003E51F1"/>
    <w:rsid w:val="003F519D"/>
    <w:rsid w:val="0040222F"/>
    <w:rsid w:val="0040374D"/>
    <w:rsid w:val="00403F3F"/>
    <w:rsid w:val="00405B67"/>
    <w:rsid w:val="004065A7"/>
    <w:rsid w:val="00406EF8"/>
    <w:rsid w:val="0040719D"/>
    <w:rsid w:val="00412ACC"/>
    <w:rsid w:val="004163B5"/>
    <w:rsid w:val="00416870"/>
    <w:rsid w:val="00420AAC"/>
    <w:rsid w:val="00422192"/>
    <w:rsid w:val="00422DB8"/>
    <w:rsid w:val="004333FA"/>
    <w:rsid w:val="0044245F"/>
    <w:rsid w:val="0044362F"/>
    <w:rsid w:val="00443A78"/>
    <w:rsid w:val="00450930"/>
    <w:rsid w:val="00450F14"/>
    <w:rsid w:val="00452AEE"/>
    <w:rsid w:val="00453D99"/>
    <w:rsid w:val="004628AF"/>
    <w:rsid w:val="004741C6"/>
    <w:rsid w:val="004746BA"/>
    <w:rsid w:val="004748A8"/>
    <w:rsid w:val="00475165"/>
    <w:rsid w:val="00480A54"/>
    <w:rsid w:val="00481902"/>
    <w:rsid w:val="00481F58"/>
    <w:rsid w:val="004831A3"/>
    <w:rsid w:val="004874BD"/>
    <w:rsid w:val="00490FDE"/>
    <w:rsid w:val="00491093"/>
    <w:rsid w:val="00497AFD"/>
    <w:rsid w:val="004A0A90"/>
    <w:rsid w:val="004A24E5"/>
    <w:rsid w:val="004A4701"/>
    <w:rsid w:val="004A59FE"/>
    <w:rsid w:val="004B0542"/>
    <w:rsid w:val="004B1DF4"/>
    <w:rsid w:val="004B277E"/>
    <w:rsid w:val="004B4482"/>
    <w:rsid w:val="004C1FB1"/>
    <w:rsid w:val="004C2A01"/>
    <w:rsid w:val="004C5496"/>
    <w:rsid w:val="004D471B"/>
    <w:rsid w:val="004E36AC"/>
    <w:rsid w:val="004E52E3"/>
    <w:rsid w:val="004E5596"/>
    <w:rsid w:val="004E5774"/>
    <w:rsid w:val="004F2187"/>
    <w:rsid w:val="004F66E3"/>
    <w:rsid w:val="0050132D"/>
    <w:rsid w:val="00501D8C"/>
    <w:rsid w:val="00517745"/>
    <w:rsid w:val="00522959"/>
    <w:rsid w:val="00530D9C"/>
    <w:rsid w:val="005326BC"/>
    <w:rsid w:val="00532B48"/>
    <w:rsid w:val="00533239"/>
    <w:rsid w:val="00534570"/>
    <w:rsid w:val="00534F30"/>
    <w:rsid w:val="0054035E"/>
    <w:rsid w:val="0054074F"/>
    <w:rsid w:val="00540C68"/>
    <w:rsid w:val="00542BE2"/>
    <w:rsid w:val="005431D3"/>
    <w:rsid w:val="00543710"/>
    <w:rsid w:val="005450F2"/>
    <w:rsid w:val="00547A34"/>
    <w:rsid w:val="00550F85"/>
    <w:rsid w:val="00552500"/>
    <w:rsid w:val="0055496D"/>
    <w:rsid w:val="005573BC"/>
    <w:rsid w:val="00557453"/>
    <w:rsid w:val="005643AC"/>
    <w:rsid w:val="005645E1"/>
    <w:rsid w:val="00565147"/>
    <w:rsid w:val="00567B72"/>
    <w:rsid w:val="00570196"/>
    <w:rsid w:val="005763A5"/>
    <w:rsid w:val="00581C02"/>
    <w:rsid w:val="00581DC8"/>
    <w:rsid w:val="00592CE0"/>
    <w:rsid w:val="00595DAE"/>
    <w:rsid w:val="005974F5"/>
    <w:rsid w:val="005A2384"/>
    <w:rsid w:val="005A5534"/>
    <w:rsid w:val="005B1767"/>
    <w:rsid w:val="005B42ED"/>
    <w:rsid w:val="005B6041"/>
    <w:rsid w:val="005C0099"/>
    <w:rsid w:val="005C06DD"/>
    <w:rsid w:val="005C3A3B"/>
    <w:rsid w:val="005C4724"/>
    <w:rsid w:val="005E5A4A"/>
    <w:rsid w:val="005F1948"/>
    <w:rsid w:val="005F27D3"/>
    <w:rsid w:val="005F2B39"/>
    <w:rsid w:val="005F4979"/>
    <w:rsid w:val="005F6554"/>
    <w:rsid w:val="00601E3D"/>
    <w:rsid w:val="00603796"/>
    <w:rsid w:val="00604149"/>
    <w:rsid w:val="00606BCE"/>
    <w:rsid w:val="00615E93"/>
    <w:rsid w:val="00620098"/>
    <w:rsid w:val="00621E4B"/>
    <w:rsid w:val="0062333D"/>
    <w:rsid w:val="00625AB1"/>
    <w:rsid w:val="00625F3B"/>
    <w:rsid w:val="00633CC1"/>
    <w:rsid w:val="00635B8A"/>
    <w:rsid w:val="00640D00"/>
    <w:rsid w:val="00641FAF"/>
    <w:rsid w:val="0064267D"/>
    <w:rsid w:val="00645851"/>
    <w:rsid w:val="00645A5D"/>
    <w:rsid w:val="00647851"/>
    <w:rsid w:val="006505C7"/>
    <w:rsid w:val="00652161"/>
    <w:rsid w:val="00652B89"/>
    <w:rsid w:val="0065566C"/>
    <w:rsid w:val="00656049"/>
    <w:rsid w:val="006560CA"/>
    <w:rsid w:val="0065676E"/>
    <w:rsid w:val="006600A7"/>
    <w:rsid w:val="006613B7"/>
    <w:rsid w:val="00664D9C"/>
    <w:rsid w:val="006700B2"/>
    <w:rsid w:val="00670684"/>
    <w:rsid w:val="006708D0"/>
    <w:rsid w:val="006721E7"/>
    <w:rsid w:val="00672366"/>
    <w:rsid w:val="006725D5"/>
    <w:rsid w:val="00674B35"/>
    <w:rsid w:val="00684C73"/>
    <w:rsid w:val="006852CE"/>
    <w:rsid w:val="00693BCD"/>
    <w:rsid w:val="006A15DF"/>
    <w:rsid w:val="006A1F40"/>
    <w:rsid w:val="006A65B8"/>
    <w:rsid w:val="006A7B06"/>
    <w:rsid w:val="006B0F65"/>
    <w:rsid w:val="006B1693"/>
    <w:rsid w:val="006B546D"/>
    <w:rsid w:val="006C47AB"/>
    <w:rsid w:val="006D09E1"/>
    <w:rsid w:val="006D10E9"/>
    <w:rsid w:val="006D7DB3"/>
    <w:rsid w:val="006E2CF4"/>
    <w:rsid w:val="006E3384"/>
    <w:rsid w:val="006E549A"/>
    <w:rsid w:val="006F30C4"/>
    <w:rsid w:val="006F5302"/>
    <w:rsid w:val="00702E72"/>
    <w:rsid w:val="00705B73"/>
    <w:rsid w:val="0070738B"/>
    <w:rsid w:val="00707A31"/>
    <w:rsid w:val="00712894"/>
    <w:rsid w:val="00717C02"/>
    <w:rsid w:val="00721323"/>
    <w:rsid w:val="007231A3"/>
    <w:rsid w:val="007233DF"/>
    <w:rsid w:val="00723F8A"/>
    <w:rsid w:val="00724DC5"/>
    <w:rsid w:val="007278B4"/>
    <w:rsid w:val="00730A33"/>
    <w:rsid w:val="007357B7"/>
    <w:rsid w:val="007400A0"/>
    <w:rsid w:val="00744648"/>
    <w:rsid w:val="0074533E"/>
    <w:rsid w:val="00745754"/>
    <w:rsid w:val="00761C24"/>
    <w:rsid w:val="0076343D"/>
    <w:rsid w:val="007635F2"/>
    <w:rsid w:val="00763A82"/>
    <w:rsid w:val="00764A1D"/>
    <w:rsid w:val="00764EB2"/>
    <w:rsid w:val="0076589D"/>
    <w:rsid w:val="00765E30"/>
    <w:rsid w:val="00770C2E"/>
    <w:rsid w:val="00776077"/>
    <w:rsid w:val="007807CA"/>
    <w:rsid w:val="0078438C"/>
    <w:rsid w:val="00784BC1"/>
    <w:rsid w:val="007871BA"/>
    <w:rsid w:val="007944AE"/>
    <w:rsid w:val="007A137D"/>
    <w:rsid w:val="007A1AA5"/>
    <w:rsid w:val="007B1D60"/>
    <w:rsid w:val="007B65D1"/>
    <w:rsid w:val="007C10CD"/>
    <w:rsid w:val="007C1B4F"/>
    <w:rsid w:val="007C7715"/>
    <w:rsid w:val="007D4CF4"/>
    <w:rsid w:val="007D4D63"/>
    <w:rsid w:val="007D6765"/>
    <w:rsid w:val="007E501F"/>
    <w:rsid w:val="007F6AE4"/>
    <w:rsid w:val="00800FAA"/>
    <w:rsid w:val="008104D9"/>
    <w:rsid w:val="00810792"/>
    <w:rsid w:val="00812531"/>
    <w:rsid w:val="008130AC"/>
    <w:rsid w:val="00815BF2"/>
    <w:rsid w:val="00817BFC"/>
    <w:rsid w:val="0082016B"/>
    <w:rsid w:val="00820487"/>
    <w:rsid w:val="00820939"/>
    <w:rsid w:val="0082391C"/>
    <w:rsid w:val="008268D3"/>
    <w:rsid w:val="00826F80"/>
    <w:rsid w:val="00833D66"/>
    <w:rsid w:val="00834DFE"/>
    <w:rsid w:val="00837BD1"/>
    <w:rsid w:val="008434DE"/>
    <w:rsid w:val="008559C7"/>
    <w:rsid w:val="008562E9"/>
    <w:rsid w:val="008613CD"/>
    <w:rsid w:val="00864DEC"/>
    <w:rsid w:val="008650D9"/>
    <w:rsid w:val="008723E6"/>
    <w:rsid w:val="00875779"/>
    <w:rsid w:val="00876ABA"/>
    <w:rsid w:val="00880BB3"/>
    <w:rsid w:val="00882EC3"/>
    <w:rsid w:val="00882FB7"/>
    <w:rsid w:val="00887F6D"/>
    <w:rsid w:val="00894365"/>
    <w:rsid w:val="008A0485"/>
    <w:rsid w:val="008A492F"/>
    <w:rsid w:val="008A70D9"/>
    <w:rsid w:val="008C0C2F"/>
    <w:rsid w:val="008C36AF"/>
    <w:rsid w:val="008C5352"/>
    <w:rsid w:val="008C6A6E"/>
    <w:rsid w:val="008D0229"/>
    <w:rsid w:val="008D311A"/>
    <w:rsid w:val="008D3A4D"/>
    <w:rsid w:val="008D4CF7"/>
    <w:rsid w:val="008D5C7C"/>
    <w:rsid w:val="008D71BE"/>
    <w:rsid w:val="008E3E80"/>
    <w:rsid w:val="008F06D3"/>
    <w:rsid w:val="008F2476"/>
    <w:rsid w:val="008F386B"/>
    <w:rsid w:val="00900CF6"/>
    <w:rsid w:val="00901374"/>
    <w:rsid w:val="00903D4C"/>
    <w:rsid w:val="0090594A"/>
    <w:rsid w:val="0090680D"/>
    <w:rsid w:val="00906AF8"/>
    <w:rsid w:val="00913410"/>
    <w:rsid w:val="00913E39"/>
    <w:rsid w:val="009155AB"/>
    <w:rsid w:val="009164F0"/>
    <w:rsid w:val="00916C6E"/>
    <w:rsid w:val="0091775F"/>
    <w:rsid w:val="00917F03"/>
    <w:rsid w:val="009302CB"/>
    <w:rsid w:val="009308A7"/>
    <w:rsid w:val="0093130A"/>
    <w:rsid w:val="00934C74"/>
    <w:rsid w:val="00937755"/>
    <w:rsid w:val="009378C7"/>
    <w:rsid w:val="00943434"/>
    <w:rsid w:val="00943CFD"/>
    <w:rsid w:val="00945C19"/>
    <w:rsid w:val="00946385"/>
    <w:rsid w:val="009562FF"/>
    <w:rsid w:val="009563D8"/>
    <w:rsid w:val="009563EC"/>
    <w:rsid w:val="009609D1"/>
    <w:rsid w:val="0096107F"/>
    <w:rsid w:val="0096130B"/>
    <w:rsid w:val="00961528"/>
    <w:rsid w:val="00961D37"/>
    <w:rsid w:val="009641EA"/>
    <w:rsid w:val="00970198"/>
    <w:rsid w:val="00971286"/>
    <w:rsid w:val="00974C2C"/>
    <w:rsid w:val="00976107"/>
    <w:rsid w:val="009812F6"/>
    <w:rsid w:val="0098279D"/>
    <w:rsid w:val="00984768"/>
    <w:rsid w:val="0099126B"/>
    <w:rsid w:val="00997D5F"/>
    <w:rsid w:val="009A27D9"/>
    <w:rsid w:val="009A79B8"/>
    <w:rsid w:val="009B200D"/>
    <w:rsid w:val="009B6B4B"/>
    <w:rsid w:val="009B7981"/>
    <w:rsid w:val="009C51E3"/>
    <w:rsid w:val="009C565C"/>
    <w:rsid w:val="009D18E6"/>
    <w:rsid w:val="009D4040"/>
    <w:rsid w:val="009E2DD4"/>
    <w:rsid w:val="009E617F"/>
    <w:rsid w:val="009F4F91"/>
    <w:rsid w:val="009F57D3"/>
    <w:rsid w:val="00A00B95"/>
    <w:rsid w:val="00A055FF"/>
    <w:rsid w:val="00A06C21"/>
    <w:rsid w:val="00A10287"/>
    <w:rsid w:val="00A1320D"/>
    <w:rsid w:val="00A13B17"/>
    <w:rsid w:val="00A150C4"/>
    <w:rsid w:val="00A36B1D"/>
    <w:rsid w:val="00A379A9"/>
    <w:rsid w:val="00A41A62"/>
    <w:rsid w:val="00A4295B"/>
    <w:rsid w:val="00A46122"/>
    <w:rsid w:val="00A4776D"/>
    <w:rsid w:val="00A506F1"/>
    <w:rsid w:val="00A50739"/>
    <w:rsid w:val="00A51B23"/>
    <w:rsid w:val="00A51D39"/>
    <w:rsid w:val="00A528E4"/>
    <w:rsid w:val="00A567F9"/>
    <w:rsid w:val="00A60E31"/>
    <w:rsid w:val="00A6126D"/>
    <w:rsid w:val="00A632D9"/>
    <w:rsid w:val="00A63557"/>
    <w:rsid w:val="00A640AD"/>
    <w:rsid w:val="00A7204A"/>
    <w:rsid w:val="00A76A34"/>
    <w:rsid w:val="00A83E15"/>
    <w:rsid w:val="00A860B3"/>
    <w:rsid w:val="00A864DF"/>
    <w:rsid w:val="00A87BD6"/>
    <w:rsid w:val="00A92510"/>
    <w:rsid w:val="00A933FB"/>
    <w:rsid w:val="00A938AF"/>
    <w:rsid w:val="00A94023"/>
    <w:rsid w:val="00A94A5D"/>
    <w:rsid w:val="00AA10B1"/>
    <w:rsid w:val="00AA4565"/>
    <w:rsid w:val="00AA4938"/>
    <w:rsid w:val="00AA6E1A"/>
    <w:rsid w:val="00AB1BCF"/>
    <w:rsid w:val="00AB1ECB"/>
    <w:rsid w:val="00AB63BE"/>
    <w:rsid w:val="00AC07F7"/>
    <w:rsid w:val="00AC1E06"/>
    <w:rsid w:val="00AC2D2B"/>
    <w:rsid w:val="00AC5FFC"/>
    <w:rsid w:val="00AC7500"/>
    <w:rsid w:val="00AD4474"/>
    <w:rsid w:val="00AD74DC"/>
    <w:rsid w:val="00AE5D7F"/>
    <w:rsid w:val="00AF4D0E"/>
    <w:rsid w:val="00AF5B92"/>
    <w:rsid w:val="00AF7C99"/>
    <w:rsid w:val="00B01426"/>
    <w:rsid w:val="00B05CF7"/>
    <w:rsid w:val="00B07D86"/>
    <w:rsid w:val="00B12E45"/>
    <w:rsid w:val="00B13096"/>
    <w:rsid w:val="00B13133"/>
    <w:rsid w:val="00B13D40"/>
    <w:rsid w:val="00B16B06"/>
    <w:rsid w:val="00B170AA"/>
    <w:rsid w:val="00B23DAE"/>
    <w:rsid w:val="00B3659D"/>
    <w:rsid w:val="00B40F0F"/>
    <w:rsid w:val="00B4338B"/>
    <w:rsid w:val="00B45A79"/>
    <w:rsid w:val="00B507B9"/>
    <w:rsid w:val="00B507C2"/>
    <w:rsid w:val="00B51B0D"/>
    <w:rsid w:val="00B51CFC"/>
    <w:rsid w:val="00B532AE"/>
    <w:rsid w:val="00B53558"/>
    <w:rsid w:val="00B619E3"/>
    <w:rsid w:val="00B63408"/>
    <w:rsid w:val="00B70E75"/>
    <w:rsid w:val="00B72FFE"/>
    <w:rsid w:val="00B745A3"/>
    <w:rsid w:val="00B77D6B"/>
    <w:rsid w:val="00B816B1"/>
    <w:rsid w:val="00B84D52"/>
    <w:rsid w:val="00B85E86"/>
    <w:rsid w:val="00B979C8"/>
    <w:rsid w:val="00BA2716"/>
    <w:rsid w:val="00BA7ADF"/>
    <w:rsid w:val="00BB348F"/>
    <w:rsid w:val="00BB40AF"/>
    <w:rsid w:val="00BB5D5F"/>
    <w:rsid w:val="00BC485B"/>
    <w:rsid w:val="00BC50E6"/>
    <w:rsid w:val="00BC5CFF"/>
    <w:rsid w:val="00BD1BEC"/>
    <w:rsid w:val="00BD3346"/>
    <w:rsid w:val="00BE0535"/>
    <w:rsid w:val="00BE5E6E"/>
    <w:rsid w:val="00BE7FAC"/>
    <w:rsid w:val="00BF022B"/>
    <w:rsid w:val="00BF5B82"/>
    <w:rsid w:val="00BF618E"/>
    <w:rsid w:val="00BF7FF4"/>
    <w:rsid w:val="00C03F44"/>
    <w:rsid w:val="00C066D3"/>
    <w:rsid w:val="00C15880"/>
    <w:rsid w:val="00C16093"/>
    <w:rsid w:val="00C35DE7"/>
    <w:rsid w:val="00C45E9A"/>
    <w:rsid w:val="00C47D3E"/>
    <w:rsid w:val="00C6573A"/>
    <w:rsid w:val="00C81677"/>
    <w:rsid w:val="00C874D6"/>
    <w:rsid w:val="00C9087E"/>
    <w:rsid w:val="00C92147"/>
    <w:rsid w:val="00C93502"/>
    <w:rsid w:val="00C93A76"/>
    <w:rsid w:val="00C9423E"/>
    <w:rsid w:val="00C94270"/>
    <w:rsid w:val="00CA38E3"/>
    <w:rsid w:val="00CA3C79"/>
    <w:rsid w:val="00CA5E54"/>
    <w:rsid w:val="00CA601A"/>
    <w:rsid w:val="00CA6242"/>
    <w:rsid w:val="00CB21B0"/>
    <w:rsid w:val="00CC47CF"/>
    <w:rsid w:val="00CC4A53"/>
    <w:rsid w:val="00CC576F"/>
    <w:rsid w:val="00CD26E7"/>
    <w:rsid w:val="00CD40EC"/>
    <w:rsid w:val="00CE1BA7"/>
    <w:rsid w:val="00CE59A9"/>
    <w:rsid w:val="00CE70A5"/>
    <w:rsid w:val="00CF4A79"/>
    <w:rsid w:val="00D004A1"/>
    <w:rsid w:val="00D03202"/>
    <w:rsid w:val="00D109B8"/>
    <w:rsid w:val="00D10F14"/>
    <w:rsid w:val="00D13D4C"/>
    <w:rsid w:val="00D13EBD"/>
    <w:rsid w:val="00D15BBF"/>
    <w:rsid w:val="00D1631F"/>
    <w:rsid w:val="00D165B3"/>
    <w:rsid w:val="00D2145A"/>
    <w:rsid w:val="00D219C0"/>
    <w:rsid w:val="00D22700"/>
    <w:rsid w:val="00D237B9"/>
    <w:rsid w:val="00D2539F"/>
    <w:rsid w:val="00D25A8E"/>
    <w:rsid w:val="00D271B2"/>
    <w:rsid w:val="00D3095A"/>
    <w:rsid w:val="00D3506A"/>
    <w:rsid w:val="00D370A8"/>
    <w:rsid w:val="00D40C81"/>
    <w:rsid w:val="00D4144A"/>
    <w:rsid w:val="00D42567"/>
    <w:rsid w:val="00D42800"/>
    <w:rsid w:val="00D42EA1"/>
    <w:rsid w:val="00D44418"/>
    <w:rsid w:val="00D57D37"/>
    <w:rsid w:val="00D6005D"/>
    <w:rsid w:val="00D60C2B"/>
    <w:rsid w:val="00D61777"/>
    <w:rsid w:val="00D63DC5"/>
    <w:rsid w:val="00D640B8"/>
    <w:rsid w:val="00D64220"/>
    <w:rsid w:val="00D66362"/>
    <w:rsid w:val="00D670D6"/>
    <w:rsid w:val="00D753D9"/>
    <w:rsid w:val="00D75647"/>
    <w:rsid w:val="00D75E66"/>
    <w:rsid w:val="00D7689A"/>
    <w:rsid w:val="00D806DA"/>
    <w:rsid w:val="00D8094D"/>
    <w:rsid w:val="00D81960"/>
    <w:rsid w:val="00D81E73"/>
    <w:rsid w:val="00D8576E"/>
    <w:rsid w:val="00D87592"/>
    <w:rsid w:val="00D917E2"/>
    <w:rsid w:val="00D91CD1"/>
    <w:rsid w:val="00D938B1"/>
    <w:rsid w:val="00D93BB4"/>
    <w:rsid w:val="00D93D8F"/>
    <w:rsid w:val="00D955BA"/>
    <w:rsid w:val="00D9675E"/>
    <w:rsid w:val="00DA3F69"/>
    <w:rsid w:val="00DA59ED"/>
    <w:rsid w:val="00DB716E"/>
    <w:rsid w:val="00DC0855"/>
    <w:rsid w:val="00DC2A3C"/>
    <w:rsid w:val="00DD61AE"/>
    <w:rsid w:val="00DD74EC"/>
    <w:rsid w:val="00DE19BA"/>
    <w:rsid w:val="00DE257D"/>
    <w:rsid w:val="00DE44DD"/>
    <w:rsid w:val="00DE6AD6"/>
    <w:rsid w:val="00DE72A0"/>
    <w:rsid w:val="00DE7AEA"/>
    <w:rsid w:val="00DF149E"/>
    <w:rsid w:val="00DF24DF"/>
    <w:rsid w:val="00DF401C"/>
    <w:rsid w:val="00DF78FD"/>
    <w:rsid w:val="00DF7B19"/>
    <w:rsid w:val="00DF7EC4"/>
    <w:rsid w:val="00E02625"/>
    <w:rsid w:val="00E05E61"/>
    <w:rsid w:val="00E10F2C"/>
    <w:rsid w:val="00E113E3"/>
    <w:rsid w:val="00E172A6"/>
    <w:rsid w:val="00E223D8"/>
    <w:rsid w:val="00E2444D"/>
    <w:rsid w:val="00E263D6"/>
    <w:rsid w:val="00E32B17"/>
    <w:rsid w:val="00E32FC7"/>
    <w:rsid w:val="00E33996"/>
    <w:rsid w:val="00E3570A"/>
    <w:rsid w:val="00E37B6C"/>
    <w:rsid w:val="00E4027D"/>
    <w:rsid w:val="00E41FA0"/>
    <w:rsid w:val="00E44978"/>
    <w:rsid w:val="00E51D1E"/>
    <w:rsid w:val="00E52744"/>
    <w:rsid w:val="00E54D5A"/>
    <w:rsid w:val="00E566C2"/>
    <w:rsid w:val="00E60B9F"/>
    <w:rsid w:val="00E62BBD"/>
    <w:rsid w:val="00E65117"/>
    <w:rsid w:val="00E652CB"/>
    <w:rsid w:val="00E735AD"/>
    <w:rsid w:val="00E74D9B"/>
    <w:rsid w:val="00E8272F"/>
    <w:rsid w:val="00E94C2F"/>
    <w:rsid w:val="00E9539E"/>
    <w:rsid w:val="00E96A5A"/>
    <w:rsid w:val="00EA3C2F"/>
    <w:rsid w:val="00EA57F8"/>
    <w:rsid w:val="00EA7E2F"/>
    <w:rsid w:val="00EB4C34"/>
    <w:rsid w:val="00EB4DDF"/>
    <w:rsid w:val="00ED0780"/>
    <w:rsid w:val="00ED2ED9"/>
    <w:rsid w:val="00ED6DAD"/>
    <w:rsid w:val="00EE3044"/>
    <w:rsid w:val="00EE6CD5"/>
    <w:rsid w:val="00EE72F9"/>
    <w:rsid w:val="00EF103E"/>
    <w:rsid w:val="00EF1729"/>
    <w:rsid w:val="00EF5950"/>
    <w:rsid w:val="00EF5D26"/>
    <w:rsid w:val="00F001A3"/>
    <w:rsid w:val="00F029B1"/>
    <w:rsid w:val="00F176BB"/>
    <w:rsid w:val="00F23854"/>
    <w:rsid w:val="00F328DC"/>
    <w:rsid w:val="00F32AEF"/>
    <w:rsid w:val="00F3396A"/>
    <w:rsid w:val="00F33CDC"/>
    <w:rsid w:val="00F3726F"/>
    <w:rsid w:val="00F37BC5"/>
    <w:rsid w:val="00F4191B"/>
    <w:rsid w:val="00F523A5"/>
    <w:rsid w:val="00F5363F"/>
    <w:rsid w:val="00F54DC7"/>
    <w:rsid w:val="00F556E0"/>
    <w:rsid w:val="00F57DB3"/>
    <w:rsid w:val="00F61C23"/>
    <w:rsid w:val="00F63028"/>
    <w:rsid w:val="00F649F7"/>
    <w:rsid w:val="00F70078"/>
    <w:rsid w:val="00F740B1"/>
    <w:rsid w:val="00F767AB"/>
    <w:rsid w:val="00F8109A"/>
    <w:rsid w:val="00F84F24"/>
    <w:rsid w:val="00F85AEF"/>
    <w:rsid w:val="00F90375"/>
    <w:rsid w:val="00F9054D"/>
    <w:rsid w:val="00F91D08"/>
    <w:rsid w:val="00F92DCA"/>
    <w:rsid w:val="00F944CB"/>
    <w:rsid w:val="00F961FF"/>
    <w:rsid w:val="00F97B0C"/>
    <w:rsid w:val="00FA077D"/>
    <w:rsid w:val="00FA4412"/>
    <w:rsid w:val="00FB6993"/>
    <w:rsid w:val="00FB7AD3"/>
    <w:rsid w:val="00FC2C20"/>
    <w:rsid w:val="00FC40C1"/>
    <w:rsid w:val="00FC566E"/>
    <w:rsid w:val="00FC5ADB"/>
    <w:rsid w:val="00FC6384"/>
    <w:rsid w:val="00FC7F37"/>
    <w:rsid w:val="00FD0119"/>
    <w:rsid w:val="00FD25C0"/>
    <w:rsid w:val="00FD544D"/>
    <w:rsid w:val="00FD7207"/>
    <w:rsid w:val="00FD7AE5"/>
    <w:rsid w:val="00FD7D2D"/>
    <w:rsid w:val="00FE077F"/>
    <w:rsid w:val="00FE2503"/>
    <w:rsid w:val="00FE4476"/>
    <w:rsid w:val="00FE5786"/>
    <w:rsid w:val="00FF30E4"/>
    <w:rsid w:val="00FF6726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706FFD-B8E9-4CA6-A804-7A76E7CD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compact,Body3,EHPT,Body Text2,Requirements,Body Text ,Body Text level 1,Response,à¹×éÍàÃ×èÍ§,paragraph 2,body indent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rsid w:val="00672366"/>
    <w:pPr>
      <w:numPr>
        <w:numId w:val="16"/>
      </w:numPr>
      <w:jc w:val="both"/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,AvtalBrodtext Char,andrad Char,compact Char,Body3 Char,EHPT Char,Body Text2 Char,Requirements Char,Body Text  Char,Body Text level 1 Char,Response Char,à¹×éÍàÃ×èÍ§ Char,bt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060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Statistics Manager, Function Description</vt:lpstr>
    </vt:vector>
  </TitlesOfParts>
  <Company/>
  <LinksUpToDate>false</LinksUpToDate>
  <CharactersWithSpaces>10224</CharactersWithSpaces>
  <SharedDoc>false</SharedDoc>
  <HLinks>
    <vt:vector size="126" baseType="variant">
      <vt:variant>
        <vt:i4>5898334</vt:i4>
      </vt:variant>
      <vt:variant>
        <vt:i4>138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1703991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_Toc335038264</vt:lpwstr>
      </vt:variant>
      <vt:variant>
        <vt:i4>1703991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_Toc335038263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_Toc335038262</vt:lpwstr>
      </vt:variant>
      <vt:variant>
        <vt:i4>1703991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_Toc335038261</vt:lpwstr>
      </vt:variant>
      <vt:variant>
        <vt:i4>1703991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_Toc335038260</vt:lpwstr>
      </vt:variant>
      <vt:variant>
        <vt:i4>1638455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_Toc335038259</vt:lpwstr>
      </vt:variant>
      <vt:variant>
        <vt:i4>1638455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_Toc335038258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_Toc335038257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_Toc335038256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_Toc335038255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_Toc335038254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_Toc335038253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_Toc335038252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_Toc335038251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_Toc335038250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_Toc335038249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_Toc335038248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_Toc335038247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_Toc335038246</vt:lpwstr>
      </vt:variant>
      <vt:variant>
        <vt:i4>1572919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_Toc335038245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Statistics Manager, Function Description</dc:title>
  <dc:subject/>
  <dc:creator>ETH/XZD Balázs Lugossy(+36 30 491 8683)</dc:creator>
  <cp:keywords/>
  <dc:description>34/155 16-CNL 113 512 Uen_x000d_Rev B</dc:description>
  <cp:lastModifiedBy>Imre Nagy</cp:lastModifiedBy>
  <cp:revision>2</cp:revision>
  <cp:lastPrinted>2007-11-29T14:06:00Z</cp:lastPrinted>
  <dcterms:created xsi:type="dcterms:W3CDTF">2018-06-21T12:17:00Z</dcterms:created>
  <dcterms:modified xsi:type="dcterms:W3CDTF">2018-06-21T12:17:00Z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ETH/XZD Balázs Lugossy(+36 30 491 8683)</vt:lpwstr>
  </property>
  <property fmtid="{D5CDD505-2E9C-101B-9397-08002B2CF9AE}" pid="5" name="DocNo">
    <vt:lpwstr>34/155 16-CNL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Statistics Manager,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2012-09-10</vt:lpwstr>
  </property>
  <property fmtid="{D5CDD505-2E9C-101B-9397-08002B2CF9AE}" pid="11" name="Keyword">
    <vt:lpwstr/>
  </property>
  <property fmtid="{D5CDD505-2E9C-101B-9397-08002B2CF9AE}" pid="12" name="ApprovedBy">
    <vt:lpwstr>ETH/XZDC (Norbert Pintér)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