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Misión Trigonometría: Midiendo Gigantes</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años (2° Medio de Enseñanza Media)</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Principiante / Intermedio</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OA 8: Mostrar que comprenden  las razones trigonométricas, aplicandolas para determinar angulos o medidas de sus lados</w:t>
            </w:r>
          </w:p>
        </w:tc>
      </w:tr>
      <w:tr>
        <w:trPr>
          <w:cantSplit w:val="0"/>
          <w:trHeight w:val="299" w:hRule="atLeast"/>
          <w:tblHeader w:val="0"/>
        </w:trPr>
        <w:tc>
          <w:tcPr>
            <w:shd w:fill="bcd5ed" w:val="clear"/>
          </w:tcPr>
          <w:p w:rsidR="00000000" w:rsidDel="00000000" w:rsidP="00000000" w:rsidRDefault="00000000" w:rsidRPr="00000000" w14:paraId="0000000C">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D">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 escuela necesita saber la altura exacta del aro de básquetbol o del asta de la bandera para una reparación, pero no tienen una escalera tan larga. Como experto en geomática, construirás un teodolito digital que capture el ángulo de elevación exacto al mirar la cima del objeto.</w:t>
            </w:r>
          </w:p>
        </w:tc>
      </w:tr>
      <w:tr>
        <w:trPr>
          <w:cantSplit w:val="0"/>
          <w:trHeight w:val="300" w:hRule="atLeast"/>
          <w:tblHeader w:val="0"/>
        </w:trPr>
        <w:tc>
          <w:tcPr>
            <w:shd w:fill="bcd5ed" w:val="clear"/>
          </w:tcPr>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Entrada (Input):</w:t>
            </w:r>
            <w:r w:rsidDel="00000000" w:rsidR="00000000" w:rsidRPr="00000000">
              <w:rPr>
                <w:rFonts w:ascii="Calibri" w:cs="Calibri" w:eastAsia="Calibri" w:hAnsi="Calibri"/>
                <w:sz w:val="20"/>
                <w:szCs w:val="20"/>
                <w:rtl w:val="0"/>
              </w:rPr>
              <w:t xml:space="preserve"> Sensor de inclinación (</w:t>
            </w:r>
            <w:r w:rsidDel="00000000" w:rsidR="00000000" w:rsidRPr="00000000">
              <w:rPr>
                <w:rFonts w:ascii="Calibri" w:cs="Calibri" w:eastAsia="Calibri" w:hAnsi="Calibri"/>
                <w:i w:val="1"/>
                <w:iCs w:val="1"/>
                <w:sz w:val="20"/>
                <w:szCs w:val="20"/>
                <w:rtl w:val="0"/>
              </w:rPr>
              <w:t xml:space="preserve">Inclination</w:t>
            </w:r>
            <w:r w:rsidDel="00000000" w:rsidR="00000000" w:rsidRPr="00000000">
              <w:rPr>
                <w:rFonts w:ascii="Calibri" w:cs="Calibri" w:eastAsia="Calibri" w:hAnsi="Calibri"/>
                <w:sz w:val="20"/>
                <w:szCs w:val="20"/>
                <w:rtl w:val="0"/>
              </w:rPr>
              <w:t xml:space="preserve">) y Botón táctil (</w:t>
            </w:r>
            <w:r w:rsidDel="00000000" w:rsidR="00000000" w:rsidRPr="00000000">
              <w:rPr>
                <w:rFonts w:ascii="Calibri" w:cs="Calibri" w:eastAsia="Calibri" w:hAnsi="Calibri"/>
                <w:i w:val="1"/>
                <w:iCs w:val="1"/>
                <w:sz w:val="20"/>
                <w:szCs w:val="20"/>
                <w:rtl w:val="0"/>
              </w:rPr>
              <w:t xml:space="preserve">Touch Button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Salida (Output):</w:t>
            </w:r>
            <w:r w:rsidDel="00000000" w:rsidR="00000000" w:rsidRPr="00000000">
              <w:rPr>
                <w:rFonts w:ascii="Calibri" w:cs="Calibri" w:eastAsia="Calibri" w:hAnsi="Calibri"/>
                <w:sz w:val="20"/>
                <w:szCs w:val="20"/>
                <w:rtl w:val="0"/>
              </w:rPr>
              <w:t xml:space="preserve"> Lámpara (</w:t>
            </w:r>
            <w:r w:rsidDel="00000000" w:rsidR="00000000" w:rsidRPr="00000000">
              <w:rPr>
                <w:rFonts w:ascii="Calibri" w:cs="Calibri" w:eastAsia="Calibri" w:hAnsi="Calibri"/>
                <w:i w:val="1"/>
                <w:iCs w:val="1"/>
                <w:sz w:val="20"/>
                <w:szCs w:val="20"/>
                <w:rtl w:val="0"/>
              </w:rPr>
              <w:t xml:space="preserve">Lamp</w:t>
            </w:r>
            <w:r w:rsidDel="00000000" w:rsidR="00000000" w:rsidRPr="00000000">
              <w:rPr>
                <w:rFonts w:ascii="Calibri" w:cs="Calibri" w:eastAsia="Calibri" w:hAnsi="Calibri"/>
                <w:sz w:val="20"/>
                <w:szCs w:val="20"/>
                <w:rtl w:val="0"/>
              </w:rPr>
              <w:t xml:space="preserve">) y Matriz de LEDs (</w:t>
            </w:r>
            <w:r w:rsidDel="00000000" w:rsidR="00000000" w:rsidRPr="00000000">
              <w:rPr>
                <w:rFonts w:ascii="Calibri" w:cs="Calibri" w:eastAsia="Calibri" w:hAnsi="Calibri"/>
                <w:i w:val="1"/>
                <w:iCs w:val="1"/>
                <w:sz w:val="20"/>
                <w:szCs w:val="20"/>
                <w:rtl w:val="0"/>
              </w:rPr>
              <w:t xml:space="preserve">LED Matrix</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5">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6">
            <w:pPr>
              <w:widowControl w:val="1"/>
              <w:spacing w:after="240" w:line="276" w:lineRule="auto"/>
              <w:rPr>
                <w:sz w:val="20"/>
                <w:szCs w:val="20"/>
              </w:rPr>
            </w:pPr>
            <w:r w:rsidDel="00000000" w:rsidR="00000000" w:rsidRPr="00000000">
              <w:rPr>
                <w:sz w:val="20"/>
                <w:szCs w:val="20"/>
                <w:rtl w:val="0"/>
              </w:rPr>
              <w:t xml:space="preserve">1. El alumno se ubica a una distancia conocida ($d$) del objeto.</w:t>
            </w:r>
          </w:p>
          <w:p w:rsidR="00000000" w:rsidDel="00000000" w:rsidP="00000000" w:rsidRDefault="00000000" w:rsidRPr="00000000" w14:paraId="00000017">
            <w:pPr>
              <w:widowControl w:val="1"/>
              <w:rPr>
                <w:sz w:val="20"/>
                <w:szCs w:val="20"/>
              </w:rPr>
            </w:pPr>
            <w:r w:rsidDel="00000000" w:rsidR="00000000" w:rsidRPr="00000000">
              <w:rPr>
                <w:rtl w:val="0"/>
              </w:rPr>
            </w:r>
          </w:p>
          <w:p w:rsidR="00000000" w:rsidDel="00000000" w:rsidP="00000000" w:rsidRDefault="00000000" w:rsidRPr="00000000" w14:paraId="00000018">
            <w:pPr>
              <w:widowControl w:val="1"/>
              <w:spacing w:after="240" w:line="276" w:lineRule="auto"/>
              <w:rPr>
                <w:sz w:val="20"/>
                <w:szCs w:val="20"/>
              </w:rPr>
            </w:pPr>
            <w:r w:rsidDel="00000000" w:rsidR="00000000" w:rsidRPr="00000000">
              <w:rPr>
                <w:sz w:val="20"/>
                <w:szCs w:val="20"/>
                <w:rtl w:val="0"/>
              </w:rPr>
              <w:t xml:space="preserve">2. Apunta con la mira a la cúspide y presiona el </w:t>
            </w:r>
            <w:r w:rsidDel="00000000" w:rsidR="00000000" w:rsidRPr="00000000">
              <w:rPr>
                <w:b w:val="1"/>
                <w:bCs w:val="1"/>
                <w:sz w:val="20"/>
                <w:szCs w:val="20"/>
                <w:rtl w:val="0"/>
              </w:rPr>
              <w:t xml:space="preserve">botón táctil</w:t>
            </w:r>
            <w:r w:rsidDel="00000000" w:rsidR="00000000" w:rsidRPr="00000000">
              <w:rPr>
                <w:sz w:val="20"/>
                <w:szCs w:val="20"/>
                <w:rtl w:val="0"/>
              </w:rPr>
              <w:t xml:space="preserve"> para "congelar" la medición.</w:t>
            </w:r>
          </w:p>
          <w:p w:rsidR="00000000" w:rsidDel="00000000" w:rsidP="00000000" w:rsidRDefault="00000000" w:rsidRPr="00000000" w14:paraId="00000019">
            <w:pPr>
              <w:widowControl w:val="1"/>
              <w:rPr>
                <w:sz w:val="20"/>
                <w:szCs w:val="20"/>
              </w:rPr>
            </w:pPr>
            <w:r w:rsidDel="00000000" w:rsidR="00000000" w:rsidRPr="00000000">
              <w:rPr>
                <w:rtl w:val="0"/>
              </w:rPr>
            </w:r>
          </w:p>
          <w:p w:rsidR="00000000" w:rsidDel="00000000" w:rsidP="00000000" w:rsidRDefault="00000000" w:rsidRPr="00000000" w14:paraId="0000001A">
            <w:pPr>
              <w:widowControl w:val="1"/>
              <w:spacing w:after="240" w:line="276" w:lineRule="auto"/>
              <w:rPr>
                <w:sz w:val="20"/>
                <w:szCs w:val="20"/>
              </w:rPr>
            </w:pPr>
            <w:r w:rsidDel="00000000" w:rsidR="00000000" w:rsidRPr="00000000">
              <w:rPr>
                <w:sz w:val="20"/>
                <w:szCs w:val="20"/>
                <w:rtl w:val="0"/>
              </w:rPr>
              <w:t xml:space="preserve">3. El sistema muestra una luz verde y el ángulo queda guardado para el cálculo matemático. </w:t>
            </w:r>
          </w:p>
          <w:p w:rsidR="00000000" w:rsidDel="00000000" w:rsidP="00000000" w:rsidRDefault="00000000" w:rsidRPr="00000000" w14:paraId="0000001B">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1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1D">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 una variable “altura ojos” y súmala al resultado obtenido para obtener la altura total real.</w:t>
            </w:r>
          </w:p>
          <w:p w:rsidR="00000000" w:rsidDel="00000000" w:rsidP="00000000" w:rsidRDefault="00000000" w:rsidRPr="00000000" w14:paraId="0000001F">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alumnos deben fabricar una "mira" (un tubo de lápiz o bombilla) y pegarla al costado del smartphone. Mirarán a través del tubo hacia la cima del objeto mientras el sensor registra la inclinación.</w:t>
            </w:r>
          </w:p>
        </w:tc>
      </w:tr>
    </w:tbl>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9LlrOOMoiEiZLC1UQlrOAEbDaQ==">CgMxLjA4AHIhMU5FczhZSzhLSjRMTHZ3Wkt5LU9kOU1keHVERTgxSlpk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