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contaminación lumínica y eficiencia energética</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y 15 años</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medio</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shd w:fill="ffffff" w:val="clear"/>
          </w:tcPr>
          <w:p w:rsidR="00000000" w:rsidDel="00000000" w:rsidP="00000000" w:rsidRDefault="00000000" w:rsidRPr="00000000" w14:paraId="0000000B">
            <w:pPr>
              <w:widowControl w:val="1"/>
              <w:shd w:fill="ebf0f2" w:val="clear"/>
              <w:spacing w:after="300" w:line="384.00000000000006" w:lineRule="auto"/>
              <w:rPr>
                <w:rFonts w:ascii="Calibri" w:cs="Calibri" w:eastAsia="Calibri" w:hAnsi="Calibri"/>
                <w:sz w:val="20"/>
                <w:szCs w:val="20"/>
              </w:rPr>
            </w:pPr>
            <w:r w:rsidDel="00000000" w:rsidR="00000000" w:rsidRPr="00000000">
              <w:rPr>
                <w:rFonts w:ascii="Roboto" w:cs="Roboto" w:eastAsia="Roboto" w:hAnsi="Roboto"/>
                <w:color w:val="4d4d4d"/>
                <w:sz w:val="23"/>
                <w:szCs w:val="23"/>
                <w:rtl w:val="0"/>
              </w:rPr>
              <w:t xml:space="preserve"> </w:t>
            </w:r>
            <w:r w:rsidDel="00000000" w:rsidR="00000000" w:rsidRPr="00000000">
              <w:rPr>
                <w:rFonts w:ascii="Calibri" w:cs="Calibri" w:eastAsia="Calibri" w:hAnsi="Calibri"/>
                <w:sz w:val="20"/>
                <w:szCs w:val="20"/>
                <w:rtl w:val="0"/>
              </w:rPr>
              <w:t xml:space="preserve">Explicar fenómenos luminosos, como la reflexión, la refracción, la interferencia y el efecto Doppler, entre otros, por medio de la experimentación y el uso de modelos, considerando:</w:t>
            </w:r>
          </w:p>
          <w:p w:rsidR="00000000" w:rsidDel="00000000" w:rsidP="00000000" w:rsidRDefault="00000000" w:rsidRPr="00000000" w14:paraId="0000000C">
            <w:pPr>
              <w:widowControl w:val="1"/>
              <w:numPr>
                <w:ilvl w:val="0"/>
                <w:numId w:val="1"/>
              </w:numPr>
              <w:shd w:fill="ebf0f2" w:val="clear"/>
              <w:spacing w:after="0" w:lineRule="auto"/>
              <w:ind w:left="1020" w:hanging="360"/>
              <w:rPr>
                <w:rFonts w:ascii="Roboto" w:cs="Roboto" w:eastAsia="Roboto" w:hAnsi="Roboto"/>
                <w:color w:val="4d4d4d"/>
                <w:sz w:val="24"/>
                <w:szCs w:val="24"/>
              </w:rPr>
            </w:pPr>
            <w:r w:rsidDel="00000000" w:rsidR="00000000" w:rsidRPr="00000000">
              <w:rPr>
                <w:rFonts w:ascii="Calibri" w:cs="Calibri" w:eastAsia="Calibri" w:hAnsi="Calibri"/>
                <w:sz w:val="20"/>
                <w:szCs w:val="20"/>
                <w:rtl w:val="0"/>
              </w:rPr>
              <w:t xml:space="preserve">Los modelos corpuscular y ondulatorio de la luz.</w:t>
            </w:r>
            <w:r w:rsidDel="00000000" w:rsidR="00000000" w:rsidRPr="00000000">
              <w:rPr>
                <w:rtl w:val="0"/>
              </w:rPr>
            </w:r>
          </w:p>
          <w:p w:rsidR="00000000" w:rsidDel="00000000" w:rsidP="00000000" w:rsidRDefault="00000000" w:rsidRPr="00000000" w14:paraId="0000000D">
            <w:pPr>
              <w:widowControl w:val="1"/>
              <w:numPr>
                <w:ilvl w:val="0"/>
                <w:numId w:val="1"/>
              </w:numPr>
              <w:shd w:fill="ebf0f2" w:val="clear"/>
              <w:spacing w:after="0" w:lineRule="auto"/>
              <w:ind w:left="1020" w:hanging="360"/>
              <w:rPr>
                <w:rFonts w:ascii="Roboto" w:cs="Roboto" w:eastAsia="Roboto" w:hAnsi="Roboto"/>
                <w:color w:val="4d4d4d"/>
                <w:sz w:val="24"/>
                <w:szCs w:val="24"/>
              </w:rPr>
            </w:pPr>
            <w:r w:rsidDel="00000000" w:rsidR="00000000" w:rsidRPr="00000000">
              <w:rPr>
                <w:rFonts w:ascii="Calibri" w:cs="Calibri" w:eastAsia="Calibri" w:hAnsi="Calibri"/>
                <w:sz w:val="20"/>
                <w:szCs w:val="20"/>
                <w:rtl w:val="0"/>
              </w:rPr>
              <w:t xml:space="preserve">Las características y la propagación de la luz (viaja en línea recta, formación de sombras y posee rapidez, entre otras).</w:t>
            </w:r>
            <w:r w:rsidDel="00000000" w:rsidR="00000000" w:rsidRPr="00000000">
              <w:rPr>
                <w:rtl w:val="0"/>
              </w:rPr>
            </w:r>
          </w:p>
          <w:p w:rsidR="00000000" w:rsidDel="00000000" w:rsidP="00000000" w:rsidRDefault="00000000" w:rsidRPr="00000000" w14:paraId="0000000E">
            <w:pPr>
              <w:widowControl w:val="1"/>
              <w:numPr>
                <w:ilvl w:val="0"/>
                <w:numId w:val="1"/>
              </w:numPr>
              <w:shd w:fill="ebf0f2" w:val="clear"/>
              <w:spacing w:after="0" w:lineRule="auto"/>
              <w:ind w:left="1020" w:hanging="360"/>
              <w:rPr>
                <w:rFonts w:ascii="Roboto" w:cs="Roboto" w:eastAsia="Roboto" w:hAnsi="Roboto"/>
                <w:color w:val="4d4d4d"/>
                <w:sz w:val="24"/>
                <w:szCs w:val="24"/>
              </w:rPr>
            </w:pPr>
            <w:r w:rsidDel="00000000" w:rsidR="00000000" w:rsidRPr="00000000">
              <w:rPr>
                <w:rFonts w:ascii="Calibri" w:cs="Calibri" w:eastAsia="Calibri" w:hAnsi="Calibri"/>
                <w:sz w:val="20"/>
                <w:szCs w:val="20"/>
                <w:rtl w:val="0"/>
              </w:rPr>
              <w:t xml:space="preserve">La formación de imágenes (espejos y lentes).</w:t>
            </w:r>
            <w:r w:rsidDel="00000000" w:rsidR="00000000" w:rsidRPr="00000000">
              <w:rPr>
                <w:rtl w:val="0"/>
              </w:rPr>
            </w:r>
          </w:p>
          <w:p w:rsidR="00000000" w:rsidDel="00000000" w:rsidP="00000000" w:rsidRDefault="00000000" w:rsidRPr="00000000" w14:paraId="0000000F">
            <w:pPr>
              <w:widowControl w:val="1"/>
              <w:numPr>
                <w:ilvl w:val="0"/>
                <w:numId w:val="1"/>
              </w:numPr>
              <w:shd w:fill="ebf0f2" w:val="clear"/>
              <w:spacing w:after="0" w:lineRule="auto"/>
              <w:ind w:left="1020" w:hanging="360"/>
              <w:rPr>
                <w:rFonts w:ascii="Roboto" w:cs="Roboto" w:eastAsia="Roboto" w:hAnsi="Roboto"/>
                <w:color w:val="4d4d4d"/>
                <w:sz w:val="24"/>
                <w:szCs w:val="24"/>
              </w:rPr>
            </w:pPr>
            <w:r w:rsidDel="00000000" w:rsidR="00000000" w:rsidRPr="00000000">
              <w:rPr>
                <w:rFonts w:ascii="Calibri" w:cs="Calibri" w:eastAsia="Calibri" w:hAnsi="Calibri"/>
                <w:sz w:val="20"/>
                <w:szCs w:val="20"/>
                <w:rtl w:val="0"/>
              </w:rPr>
              <w:t xml:space="preserve">La formación de colores (difracción, colores primarios y secundarios, filtros).</w:t>
            </w:r>
            <w:r w:rsidDel="00000000" w:rsidR="00000000" w:rsidRPr="00000000">
              <w:rPr>
                <w:rtl w:val="0"/>
              </w:rPr>
            </w:r>
          </w:p>
          <w:p w:rsidR="00000000" w:rsidDel="00000000" w:rsidP="00000000" w:rsidRDefault="00000000" w:rsidRPr="00000000" w14:paraId="00000010">
            <w:pPr>
              <w:widowControl w:val="1"/>
              <w:numPr>
                <w:ilvl w:val="0"/>
                <w:numId w:val="1"/>
              </w:numPr>
              <w:shd w:fill="ebf0f2" w:val="clear"/>
              <w:spacing w:after="280" w:lineRule="auto"/>
              <w:ind w:left="1020" w:hanging="360"/>
              <w:rPr>
                <w:rFonts w:ascii="Roboto" w:cs="Roboto" w:eastAsia="Roboto" w:hAnsi="Roboto"/>
                <w:b w:val="1"/>
                <w:bCs w:val="1"/>
                <w:color w:val="4d4d4d"/>
                <w:sz w:val="24"/>
                <w:szCs w:val="24"/>
              </w:rPr>
            </w:pPr>
            <w:r w:rsidDel="00000000" w:rsidR="00000000" w:rsidRPr="00000000">
              <w:rPr>
                <w:rFonts w:ascii="Calibri" w:cs="Calibri" w:eastAsia="Calibri" w:hAnsi="Calibri"/>
                <w:b w:val="1"/>
                <w:bCs w:val="1"/>
                <w:sz w:val="20"/>
                <w:szCs w:val="20"/>
                <w:rtl w:val="0"/>
              </w:rPr>
              <w:t xml:space="preserve">Sus aplicaciones tecnológicas (lentes, telescopio, prismáticos y focos, entre otros).</w:t>
            </w:r>
            <w:r w:rsidDel="00000000" w:rsidR="00000000" w:rsidRPr="00000000">
              <w:rPr>
                <w:rtl w:val="0"/>
              </w:rPr>
            </w:r>
          </w:p>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tl w:val="0"/>
              </w:rPr>
            </w:r>
          </w:p>
        </w:tc>
      </w:tr>
      <w:tr>
        <w:trPr>
          <w:cantSplit w:val="0"/>
          <w:trHeight w:val="299" w:hRule="atLeast"/>
          <w:tblHeader w:val="0"/>
        </w:trPr>
        <w:tc>
          <w:tcPr>
            <w:shd w:fill="bcd5ed" w:val="clear"/>
          </w:tcPr>
          <w:p w:rsidR="00000000" w:rsidDel="00000000" w:rsidP="00000000" w:rsidRDefault="00000000" w:rsidRPr="00000000" w14:paraId="00000012">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13">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Alarma de Ahorro Energético</w:t>
            </w:r>
            <w:r w:rsidDel="00000000" w:rsidR="00000000" w:rsidRPr="00000000">
              <w:rPr>
                <w:rFonts w:ascii="Calibri" w:cs="Calibri" w:eastAsia="Calibri" w:hAnsi="Calibri"/>
                <w:sz w:val="20"/>
                <w:szCs w:val="20"/>
                <w:rtl w:val="0"/>
              </w:rPr>
              <w:t xml:space="preserve">: Una propuesta enfocada en la sostenibilidad. Los alumnos conectan un </w:t>
            </w:r>
            <w:r w:rsidDel="00000000" w:rsidR="00000000" w:rsidRPr="00000000">
              <w:rPr>
                <w:rFonts w:ascii="Calibri" w:cs="Calibri" w:eastAsia="Calibri" w:hAnsi="Calibri"/>
                <w:b w:val="1"/>
                <w:bCs w:val="1"/>
                <w:sz w:val="20"/>
                <w:szCs w:val="20"/>
                <w:rtl w:val="0"/>
              </w:rPr>
              <w:t xml:space="preserve">sensor de intensidad luminosa</w:t>
            </w:r>
            <w:r w:rsidDel="00000000" w:rsidR="00000000" w:rsidRPr="00000000">
              <w:rPr>
                <w:rFonts w:ascii="Calibri" w:cs="Calibri" w:eastAsia="Calibri" w:hAnsi="Calibri"/>
                <w:sz w:val="20"/>
                <w:szCs w:val="20"/>
                <w:rtl w:val="0"/>
              </w:rPr>
              <w:t xml:space="preserve"> y el </w:t>
            </w:r>
            <w:r w:rsidDel="00000000" w:rsidR="00000000" w:rsidRPr="00000000">
              <w:rPr>
                <w:rFonts w:ascii="Calibri" w:cs="Calibri" w:eastAsia="Calibri" w:hAnsi="Calibri"/>
                <w:b w:val="1"/>
                <w:bCs w:val="1"/>
                <w:sz w:val="20"/>
                <w:szCs w:val="20"/>
                <w:rtl w:val="0"/>
              </w:rPr>
              <w:t xml:space="preserve">reproductor de sonido</w:t>
            </w:r>
            <w:r w:rsidDel="00000000" w:rsidR="00000000" w:rsidRPr="00000000">
              <w:rPr>
                <w:rFonts w:ascii="Calibri" w:cs="Calibri" w:eastAsia="Calibri" w:hAnsi="Calibri"/>
                <w:sz w:val="20"/>
                <w:szCs w:val="20"/>
                <w:rtl w:val="0"/>
              </w:rPr>
              <w:t xml:space="preserve">. Identifican sectores clave del colegio donde realizan mediciones (sala de clases, casino, baños, gimnasio, recepción, etc)</w:t>
            </w:r>
          </w:p>
        </w:tc>
      </w:tr>
      <w:tr>
        <w:trPr>
          <w:cantSplit w:val="0"/>
          <w:trHeight w:val="300" w:hRule="atLeast"/>
          <w:tblHeader w:val="0"/>
        </w:trPr>
        <w:tc>
          <w:tcPr>
            <w:shd w:fill="bcd5ed" w:val="clear"/>
          </w:tcPr>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intensidad de luz</w:t>
            </w:r>
          </w:p>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reproductor de sonido</w:t>
            </w:r>
          </w:p>
        </w:tc>
      </w:tr>
      <w:tr>
        <w:trPr>
          <w:cantSplit w:val="0"/>
          <w:trHeight w:val="270" w:hRule="atLeast"/>
          <w:tblHeader w:val="0"/>
        </w:trPr>
        <w:tc>
          <w:tcPr>
            <w:shd w:fill="bcd5ed" w:val="clear"/>
          </w:tcPr>
          <w:p w:rsidR="00000000" w:rsidDel="00000000" w:rsidP="00000000" w:rsidRDefault="00000000" w:rsidRPr="00000000" w14:paraId="0000001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9">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estudiantes utilizarán la plataforma protobject para vincular su celular al sensor de intensidad luminosa y al reproductor de sonido, el cuál se activará de acuerdo al rango de luminosidad indicado por el sensor. </w:t>
            </w:r>
          </w:p>
          <w:p w:rsidR="00000000" w:rsidDel="00000000" w:rsidP="00000000" w:rsidRDefault="00000000" w:rsidRPr="00000000" w14:paraId="0000001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el sensor marca </w:t>
            </w:r>
            <w:r w:rsidDel="00000000" w:rsidR="00000000" w:rsidRPr="00000000">
              <w:rPr>
                <w:rFonts w:ascii="Calibri" w:cs="Calibri" w:eastAsia="Calibri" w:hAnsi="Calibri"/>
                <w:b w:val="1"/>
                <w:bCs w:val="1"/>
                <w:sz w:val="20"/>
                <w:szCs w:val="20"/>
                <w:rtl w:val="0"/>
              </w:rPr>
              <w:t xml:space="preserve">75</w:t>
            </w:r>
            <w:r w:rsidDel="00000000" w:rsidR="00000000" w:rsidRPr="00000000">
              <w:rPr>
                <w:rFonts w:ascii="Calibri" w:cs="Calibri" w:eastAsia="Calibri" w:hAnsi="Calibri"/>
                <w:sz w:val="20"/>
                <w:szCs w:val="20"/>
                <w:rtl w:val="0"/>
              </w:rPr>
              <w:t xml:space="preserve">, establece tu variable “umbral” un poco por debajo, por ejemplo, </w:t>
            </w:r>
            <w:r w:rsidDel="00000000" w:rsidR="00000000" w:rsidRPr="00000000">
              <w:rPr>
                <w:rFonts w:ascii="Calibri" w:cs="Calibri" w:eastAsia="Calibri" w:hAnsi="Calibri"/>
                <w:b w:val="1"/>
                <w:bCs w:val="1"/>
                <w:sz w:val="20"/>
                <w:szCs w:val="20"/>
                <w:rtl w:val="0"/>
              </w:rPr>
              <w:t xml:space="preserve">70</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al encender la bombilla de la habitación el valor sube de 70 a 85, el programa detectará que hay "demasiada luz" y activará el </w:t>
            </w:r>
            <w:r w:rsidDel="00000000" w:rsidR="00000000" w:rsidRPr="00000000">
              <w:rPr>
                <w:rFonts w:ascii="Calibri" w:cs="Calibri" w:eastAsia="Calibri" w:hAnsi="Calibri"/>
                <w:b w:val="1"/>
                <w:bCs w:val="1"/>
                <w:sz w:val="20"/>
                <w:szCs w:val="20"/>
                <w:rtl w:val="0"/>
              </w:rPr>
              <w:t xml:space="preserve">reproductor de sonido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D">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1F">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2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desafío es crear un dispositivo que emita un aviso sonoro si la luz de la habitación sigue encendida cuando la luminosidad natural es suficiente, fomentando hábitos de consumo responsable, se puede agregar una matriz led para mostrar una figura o símbolo (carita feliz, check, etc) de acuerdo a los rangos de luminosidad detectada.</w:t>
            </w:r>
          </w:p>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Otro desafio sería utilizar el sensor para indicar cuándo hay “poca” luz en la habitación, es decir, sería necesario utilizar luz artificial para mantener una luminosidad adecuada para trabajar.</w:t>
            </w:r>
          </w:p>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4">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VmVe2S0R9HYJSFS05+0uIoielQ==">CgMxLjA4AHIhMW0zenhEbWJscTRlZlgyRml1Nll3TlRvMU14RWJUMWpk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