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CAA1F">
      <w:pPr>
        <w:spacing w:after="80" w:line="240" w:lineRule="auto"/>
        <w:jc w:val="center"/>
        <w:rPr>
          <w:color w:val="FF0000"/>
        </w:rPr>
      </w:pPr>
      <w:r>
        <w:rPr>
          <w:rFonts w:ascii="Times New Roman" w:hAnsi="Times New Roman"/>
          <w:b/>
          <w:color w:val="FF0000"/>
          <w:sz w:val="32"/>
        </w:rPr>
        <w:t>VISVESVARAYA TECHNOLOGICAL UNIVERSITY</w:t>
      </w:r>
    </w:p>
    <w:p w14:paraId="10DDB1AF">
      <w:pPr>
        <w:spacing w:after="80" w:line="240" w:lineRule="auto"/>
        <w:jc w:val="center"/>
        <w:rPr>
          <w:color w:val="7030A0"/>
        </w:rPr>
      </w:pPr>
      <w:r>
        <w:rPr>
          <w:rFonts w:ascii="Times New Roman" w:hAnsi="Times New Roman"/>
          <w:b w:val="0"/>
          <w:sz w:val="22"/>
        </w:rPr>
        <w:t>"</w:t>
      </w:r>
      <w:r>
        <w:rPr>
          <w:rFonts w:ascii="Times New Roman" w:hAnsi="Times New Roman"/>
          <w:b w:val="0"/>
          <w:color w:val="7030A0"/>
          <w:sz w:val="22"/>
        </w:rPr>
        <w:t>Jnana Sangama", Belagavi – 590 018, Karnataka, India</w:t>
      </w:r>
    </w:p>
    <w:p w14:paraId="7E5913A9">
      <w:pPr>
        <w:ind w:left="2880" w:leftChars="0" w:firstLine="720" w:firstLineChars="0"/>
      </w:pPr>
      <w:r>
        <w:rPr>
          <w:rFonts w:hint="default"/>
          <w:lang w:val="en-IN"/>
        </w:rPr>
        <w:t xml:space="preserve">     </w:t>
      </w:r>
      <w:r>
        <w:drawing>
          <wp:inline distT="0" distB="0" distL="114300" distR="114300">
            <wp:extent cx="1081405" cy="109283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081405" cy="1092835"/>
                    </a:xfrm>
                    <a:prstGeom prst="rect">
                      <a:avLst/>
                    </a:prstGeom>
                  </pic:spPr>
                </pic:pic>
              </a:graphicData>
            </a:graphic>
          </wp:inline>
        </w:drawing>
      </w:r>
    </w:p>
    <w:p w14:paraId="71BEFC73">
      <w:pPr>
        <w:spacing w:after="80" w:line="240" w:lineRule="auto"/>
        <w:jc w:val="center"/>
        <w:rPr>
          <w:rFonts w:ascii="Times New Roman" w:hAnsi="Times New Roman"/>
          <w:b/>
          <w:color w:val="1F497D" w:themeColor="text2"/>
          <w:sz w:val="28"/>
          <w14:textFill>
            <w14:solidFill>
              <w14:schemeClr w14:val="tx2"/>
            </w14:solidFill>
          </w14:textFill>
        </w:rPr>
      </w:pPr>
      <w:r>
        <w:rPr>
          <w:rFonts w:ascii="Times New Roman" w:hAnsi="Times New Roman"/>
          <w:b/>
          <w:color w:val="1F497D" w:themeColor="text2"/>
          <w:sz w:val="28"/>
          <w14:textFill>
            <w14:solidFill>
              <w14:schemeClr w14:val="tx2"/>
            </w14:solidFill>
          </w14:textFill>
        </w:rPr>
        <w:t>A MINIPROJECT REPORT</w:t>
      </w:r>
    </w:p>
    <w:p w14:paraId="23E792BC">
      <w:pPr>
        <w:spacing w:after="80" w:line="240" w:lineRule="auto"/>
        <w:ind w:left="2880" w:leftChars="0" w:firstLine="1680" w:firstLineChars="700"/>
        <w:jc w:val="both"/>
        <w:rPr>
          <w:color w:val="31859C" w:themeColor="accent5" w:themeShade="BF"/>
        </w:rPr>
      </w:pPr>
      <w:r>
        <w:rPr>
          <w:rFonts w:ascii="Times New Roman" w:hAnsi="Times New Roman"/>
          <w:b w:val="0"/>
          <w:color w:val="1F497D" w:themeColor="text2"/>
          <w:sz w:val="24"/>
          <w14:textFill>
            <w14:solidFill>
              <w14:schemeClr w14:val="tx2"/>
            </w14:solidFill>
          </w14:textFill>
        </w:rPr>
        <w:t>On</w:t>
      </w:r>
    </w:p>
    <w:p w14:paraId="4AE31FBE">
      <w:pPr>
        <w:spacing w:after="80" w:line="240" w:lineRule="auto"/>
        <w:jc w:val="center"/>
        <w:rPr>
          <w:rFonts w:hint="default"/>
          <w:color w:val="7030A0"/>
          <w:sz w:val="36"/>
          <w:szCs w:val="36"/>
          <w:lang w:val="en-IN"/>
        </w:rPr>
      </w:pPr>
      <w:r>
        <w:rPr>
          <w:rFonts w:ascii="Times New Roman" w:hAnsi="Times New Roman"/>
          <w:b/>
          <w:color w:val="7030A0"/>
          <w:sz w:val="36"/>
          <w:szCs w:val="36"/>
        </w:rPr>
        <w:t xml:space="preserve">HANDWRITTEN PRESCRIPTION RECOGNITION USING </w:t>
      </w:r>
      <w:r>
        <w:rPr>
          <w:rFonts w:hint="default"/>
          <w:b/>
          <w:color w:val="7030A0"/>
          <w:sz w:val="36"/>
          <w:szCs w:val="36"/>
          <w:lang w:val="en-IN"/>
        </w:rPr>
        <w:t xml:space="preserve">OCR AND DEEP LEARNING</w:t>
      </w:r>
    </w:p>
    <w:p w14:paraId="38EB7588">
      <w:pPr>
        <w:spacing w:after="80" w:line="240" w:lineRule="auto"/>
        <w:jc w:val="center"/>
        <w:rPr>
          <w:color w:val="1F497D" w:themeColor="text2"/>
          <w:sz w:val="24"/>
          <w:szCs w:val="24"/>
          <w14:textFill>
            <w14:solidFill>
              <w14:schemeClr w14:val="tx2"/>
            </w14:solidFill>
          </w14:textFill>
        </w:rPr>
      </w:pPr>
      <w:r>
        <w:rPr>
          <w:rFonts w:ascii="Times New Roman" w:hAnsi="Times New Roman"/>
          <w:b w:val="0"/>
          <w:color w:val="1F497D" w:themeColor="text2"/>
          <w:sz w:val="24"/>
          <w:szCs w:val="24"/>
          <w14:textFill>
            <w14:solidFill>
              <w14:schemeClr w14:val="tx2"/>
            </w14:solidFill>
          </w14:textFill>
        </w:rPr>
        <w:t>Submitted in partial fulfillment of the requirement for the award of the degree of</w:t>
      </w:r>
    </w:p>
    <w:p w14:paraId="60C8FC0D">
      <w:pPr>
        <w:spacing w:after="80" w:line="240" w:lineRule="auto"/>
        <w:jc w:val="center"/>
        <w:rPr>
          <w:color w:val="1F497D" w:themeColor="text2"/>
          <w:sz w:val="24"/>
          <w:szCs w:val="24"/>
          <w14:textFill>
            <w14:solidFill>
              <w14:schemeClr w14:val="tx2"/>
            </w14:solidFill>
          </w14:textFill>
        </w:rPr>
      </w:pPr>
      <w:r>
        <w:rPr>
          <w:rFonts w:ascii="Times New Roman" w:hAnsi="Times New Roman"/>
          <w:b/>
          <w:color w:val="1F497D" w:themeColor="text2"/>
          <w:sz w:val="24"/>
          <w:szCs w:val="24"/>
          <w14:textFill>
            <w14:solidFill>
              <w14:schemeClr w14:val="tx2"/>
            </w14:solidFill>
          </w14:textFill>
        </w:rPr>
        <w:t>BACHELOR OF ENGINEERING</w:t>
      </w:r>
    </w:p>
    <w:p w14:paraId="0F0B91DA">
      <w:pPr>
        <w:spacing w:after="80" w:line="240" w:lineRule="auto"/>
        <w:jc w:val="center"/>
        <w:rPr>
          <w:color w:val="215968" w:themeColor="accent5" w:themeShade="80"/>
          <w:sz w:val="24"/>
          <w:szCs w:val="24"/>
        </w:rPr>
      </w:pPr>
      <w:r>
        <w:rPr>
          <w:rFonts w:ascii="Times New Roman" w:hAnsi="Times New Roman"/>
          <w:b/>
          <w:color w:val="1F497D" w:themeColor="text2"/>
          <w:sz w:val="24"/>
          <w:szCs w:val="24"/>
          <w14:textFill>
            <w14:solidFill>
              <w14:schemeClr w14:val="tx2"/>
            </w14:solidFill>
          </w14:textFill>
        </w:rPr>
        <w:t>IN</w:t>
      </w:r>
    </w:p>
    <w:p w14:paraId="4A3F92CB">
      <w:pPr>
        <w:spacing w:after="80" w:line="240" w:lineRule="auto"/>
        <w:jc w:val="center"/>
        <w:rPr>
          <w:color w:val="1F497D" w:themeColor="text2"/>
          <w:sz w:val="24"/>
          <w:szCs w:val="24"/>
          <w14:textFill>
            <w14:solidFill>
              <w14:schemeClr w14:val="tx2"/>
            </w14:solidFill>
          </w14:textFill>
        </w:rPr>
      </w:pPr>
      <w:r>
        <w:rPr>
          <w:rFonts w:ascii="Times New Roman" w:hAnsi="Times New Roman"/>
          <w:b/>
          <w:color w:val="1F497D" w:themeColor="text2"/>
          <w:sz w:val="24"/>
          <w:szCs w:val="24"/>
          <w14:textFill>
            <w14:solidFill>
              <w14:schemeClr w14:val="tx2"/>
            </w14:solidFill>
          </w14:textFill>
        </w:rPr>
        <w:t>ARTIFICIAL INTELLIGENCE &amp; MACHINE LEARNING</w:t>
      </w:r>
    </w:p>
    <w:p w14:paraId="32FE094A">
      <w:pPr>
        <w:spacing w:after="80" w:line="240" w:lineRule="auto"/>
        <w:jc w:val="center"/>
        <w:rPr>
          <w:rFonts w:ascii="Times New Roman" w:hAnsi="Times New Roman"/>
          <w:b/>
          <w:color w:val="1F497D" w:themeColor="text2"/>
          <w:sz w:val="24"/>
          <w14:textFill>
            <w14:solidFill>
              <w14:schemeClr w14:val="tx2"/>
            </w14:solidFill>
          </w14:textFill>
        </w:rPr>
      </w:pPr>
      <w:r>
        <w:rPr>
          <w:rFonts w:ascii="Times New Roman" w:hAnsi="Times New Roman"/>
          <w:b/>
          <w:color w:val="1F497D" w:themeColor="text2"/>
          <w:sz w:val="24"/>
          <w14:textFill>
            <w14:solidFill>
              <w14:schemeClr w14:val="tx2"/>
            </w14:solidFill>
          </w14:textFill>
        </w:rPr>
        <w:t>Submitted By</w:t>
      </w:r>
    </w:p>
    <w:p w14:paraId="2145914D">
      <w:pPr>
        <w:spacing w:line="240" w:lineRule="auto"/>
        <w:ind w:left="1440" w:leftChars="0" w:firstLine="720" w:firstLineChars="0"/>
        <w:jc w:val="both"/>
        <w:rPr>
          <w:rFonts w:hint="default"/>
          <w:b/>
          <w:bCs/>
          <w:color w:val="F79646" w:themeColor="accent6"/>
          <w:lang w:val="en-IN"/>
          <w14:textFill>
            <w14:solidFill>
              <w14:schemeClr w14:val="accent6"/>
            </w14:solidFill>
          </w14:textFill>
        </w:rPr>
      </w:pPr>
      <w:r>
        <w:rPr>
          <w:rFonts w:hint="default"/>
          <w:b/>
          <w:bCs/>
          <w:color w:val="F79646" w:themeColor="accent6"/>
          <w:lang w:val="en-IN"/>
          <w14:textFill>
            <w14:solidFill>
              <w14:schemeClr w14:val="accent6"/>
            </w14:solidFill>
          </w14:textFill>
        </w:rPr>
        <w:t xml:space="preserve">Amandeep Singh </w:t>
        <w:tab/>
        <w:tab/>
        <w:tab/>
        <w:t xml:space="preserve">1MV23AI005</w:t>
      </w:r>
    </w:p>
    <w:p w14:paraId="79397410">
      <w:pPr>
        <w:numPr>
          <w:ilvl w:val="0"/>
          <w:numId w:val="0"/>
        </w:numPr>
        <w:spacing w:line="240" w:lineRule="auto"/>
        <w:ind w:left="1440" w:leftChars="0" w:firstLine="720" w:firstLineChars="0"/>
        <w:jc w:val="left"/>
        <w:rPr>
          <w:rFonts w:hint="default"/>
          <w:b/>
          <w:bCs/>
          <w:color w:val="F79646" w:themeColor="accent6"/>
          <w:lang w:val="en-IN"/>
          <w14:textFill>
            <w14:solidFill>
              <w14:schemeClr w14:val="accent6"/>
            </w14:solidFill>
          </w14:textFill>
        </w:rPr>
      </w:pPr>
      <w:r>
        <w:rPr>
          <w:rFonts w:hint="default"/>
          <w:b/>
          <w:bCs/>
          <w:color w:val="F79646" w:themeColor="accent6"/>
          <w:lang w:val="en-IN"/>
          <w14:textFill>
            <w14:solidFill>
              <w14:schemeClr w14:val="accent6"/>
            </w14:solidFill>
          </w14:textFill>
        </w:rPr>
        <w:t xml:space="preserve">Anijesh Kumar </w:t>
        <w:tab/>
        <w:tab/>
        <w:tab/>
        <w:t xml:space="preserve">1MV23AI007</w:t>
      </w:r>
    </w:p>
    <w:p w14:paraId="12298F78">
      <w:pPr>
        <w:numPr>
          <w:ilvl w:val="0"/>
          <w:numId w:val="0"/>
        </w:numPr>
        <w:spacing w:line="240" w:lineRule="auto"/>
        <w:ind w:left="1440" w:leftChars="0" w:firstLine="720" w:firstLineChars="0"/>
        <w:jc w:val="left"/>
        <w:rPr>
          <w:rFonts w:ascii="Times New Roman" w:hAnsi="Times New Roman"/>
          <w:b/>
          <w:bCs/>
          <w:color w:val="F79646" w:themeColor="accent6"/>
          <w:sz w:val="24"/>
          <w14:textFill>
            <w14:solidFill>
              <w14:schemeClr w14:val="accent6"/>
            </w14:solidFill>
          </w14:textFill>
        </w:rPr>
      </w:pPr>
      <w:r>
        <w:rPr>
          <w:rFonts w:hint="default"/>
          <w:b/>
          <w:bCs/>
          <w:color w:val="F79646" w:themeColor="accent6"/>
          <w:lang w:val="en-IN"/>
          <w14:textFill>
            <w14:solidFill>
              <w14:schemeClr w14:val="accent6"/>
            </w14:solidFill>
          </w14:textFill>
        </w:rPr>
        <w:t xml:space="preserve">Harit Mehta </w:t>
        <w:tab/>
        <w:tab/>
        <w:tab/>
        <w:tab/>
        <w:t xml:space="preserve">1MV23AI019</w:t>
      </w:r>
    </w:p>
    <w:p w14:paraId="6B3BB4FF">
      <w:pPr>
        <w:spacing w:after="80" w:line="240" w:lineRule="auto"/>
        <w:jc w:val="center"/>
      </w:pPr>
      <w:r>
        <w:rPr>
          <w:rFonts w:ascii="Times New Roman" w:hAnsi="Times New Roman"/>
          <w:b/>
          <w:sz w:val="24"/>
        </w:rPr>
        <w:t>Carried out at</w:t>
      </w:r>
    </w:p>
    <w:p w14:paraId="459B276F">
      <w:pPr>
        <w:spacing w:after="80" w:line="240" w:lineRule="auto"/>
        <w:jc w:val="center"/>
        <w:rPr>
          <w:rFonts w:hint="default"/>
          <w:b/>
          <w:sz w:val="24"/>
          <w:lang w:val="en-IN"/>
        </w:rPr>
      </w:pPr>
      <w:r>
        <w:rPr>
          <w:rFonts w:ascii="Times New Roman" w:hAnsi="Times New Roman"/>
          <w:b/>
          <w:sz w:val="24"/>
        </w:rPr>
        <w:t xml:space="preserve">Department of </w:t>
      </w:r>
      <w:r>
        <w:rPr>
          <w:rFonts w:hint="default"/>
          <w:b/>
          <w:sz w:val="24"/>
          <w:lang w:val="en-IN"/>
        </w:rPr>
        <w:t>AIML,</w:t>
      </w:r>
    </w:p>
    <w:p w14:paraId="3BC0A118">
      <w:pPr>
        <w:spacing w:after="80" w:line="240" w:lineRule="auto"/>
        <w:jc w:val="center"/>
        <w:rPr>
          <w:rFonts w:hint="default" w:ascii="Times New Roman" w:hAnsi="Times New Roman"/>
          <w:b w:val="0"/>
          <w:sz w:val="22"/>
          <w:lang w:val="en-IN"/>
        </w:rPr>
      </w:pPr>
      <w:r>
        <w:rPr>
          <w:rFonts w:ascii="Times New Roman" w:hAnsi="Times New Roman"/>
          <w:b/>
          <w:sz w:val="24"/>
        </w:rPr>
        <w:t>Sir M. Visvesvaraya Institute of Technolog</w:t>
      </w:r>
      <w:r>
        <w:rPr>
          <w:rFonts w:hint="default"/>
          <w:b/>
          <w:sz w:val="24"/>
          <w:lang w:val="en-IN"/>
        </w:rPr>
        <w:t>y</w:t>
      </w:r>
      <w:r>
        <w:rPr>
          <w:rFonts w:hint="default"/>
          <w:b w:val="0"/>
          <w:sz w:val="22"/>
          <w:lang w:val="en-IN"/>
        </w:rPr>
        <w:t xml:space="preserve">    </w:t>
      </w:r>
    </w:p>
    <w:p w14:paraId="53473E1F">
      <w:pPr>
        <w:spacing w:after="80" w:line="240" w:lineRule="auto"/>
        <w:ind w:left="2160" w:leftChars="0" w:firstLine="1560" w:firstLineChars="650"/>
        <w:jc w:val="both"/>
        <w:rPr>
          <w:color w:val="0070C0"/>
        </w:rPr>
      </w:pPr>
      <w:r>
        <w:rPr>
          <w:rFonts w:ascii="Times New Roman" w:hAnsi="Times New Roman"/>
          <w:b w:val="0"/>
          <w:color w:val="0070C0"/>
          <w:sz w:val="24"/>
        </w:rPr>
        <w:t>Under the guidance of</w:t>
      </w:r>
    </w:p>
    <w:p w14:paraId="3C693193">
      <w:pPr>
        <w:spacing w:after="80" w:line="240" w:lineRule="auto"/>
        <w:jc w:val="center"/>
        <w:rPr>
          <w:rFonts w:hint="default" w:ascii="Times New Roman" w:hAnsi="Times New Roman" w:eastAsia="Times New Roman" w:cs="Times New Roman"/>
          <w:b/>
          <w:bCs/>
          <w:i w:val="0"/>
          <w:iCs w:val="0"/>
          <w:caps w:val="0"/>
          <w:color w:val="E26C09"/>
          <w:spacing w:val="0"/>
          <w:sz w:val="24"/>
          <w:szCs w:val="24"/>
          <w:vertAlign w:val="baseline"/>
          <w:lang w:val="en-US"/>
        </w:rPr>
      </w:pPr>
      <w:r>
        <w:rPr>
          <w:rFonts w:hint="default" w:ascii="Times New Roman" w:hAnsi="Times New Roman" w:eastAsia="Times New Roman" w:cs="Times New Roman"/>
          <w:b/>
          <w:bCs/>
          <w:i w:val="0"/>
          <w:iCs w:val="0"/>
          <w:caps w:val="0"/>
          <w:color w:val="E26C09"/>
          <w:spacing w:val="0"/>
          <w:sz w:val="24"/>
          <w:szCs w:val="24"/>
          <w:vertAlign w:val="baseline"/>
          <w:lang w:val="en-US"/>
        </w:rPr>
        <w:t>Ms. Lavanya S</w:t>
      </w:r>
    </w:p>
    <w:p w14:paraId="775BAD92">
      <w:pPr>
        <w:spacing w:after="80" w:line="240" w:lineRule="auto"/>
        <w:jc w:val="center"/>
        <w:rPr>
          <w:rFonts w:hint="default" w:ascii="Times New Roman" w:hAnsi="Times New Roman" w:eastAsia="Times New Roman" w:cs="Times New Roman"/>
          <w:b/>
          <w:bCs/>
          <w:i w:val="0"/>
          <w:iCs w:val="0"/>
          <w:caps w:val="0"/>
          <w:color w:val="E26C09"/>
          <w:spacing w:val="0"/>
          <w:sz w:val="24"/>
          <w:szCs w:val="24"/>
          <w:vertAlign w:val="baseline"/>
          <w:lang w:val="en-US"/>
        </w:rPr>
      </w:pPr>
      <w:r>
        <w:rPr>
          <w:rFonts w:hint="default" w:ascii="Times New Roman" w:hAnsi="Times New Roman" w:eastAsia="Times New Roman" w:cs="Times New Roman"/>
          <w:b/>
          <w:bCs/>
          <w:i w:val="0"/>
          <w:iCs w:val="0"/>
          <w:caps w:val="0"/>
          <w:color w:val="E26C09"/>
          <w:spacing w:val="0"/>
          <w:sz w:val="24"/>
          <w:szCs w:val="24"/>
          <w:vertAlign w:val="baseline"/>
          <w:lang w:val="en-US"/>
        </w:rPr>
        <w:t>Assistant Professor,</w:t>
      </w:r>
    </w:p>
    <w:p w14:paraId="52ABCDE4">
      <w:pPr>
        <w:spacing w:after="80" w:line="240" w:lineRule="auto"/>
        <w:jc w:val="center"/>
        <w:rPr>
          <w:rFonts w:hint="default" w:ascii="Times New Roman" w:hAnsi="Times New Roman" w:eastAsia="Times New Roman" w:cs="Times New Roman"/>
          <w:b/>
          <w:bCs/>
          <w:i w:val="0"/>
          <w:iCs w:val="0"/>
          <w:caps w:val="0"/>
          <w:color w:val="E26C09"/>
          <w:spacing w:val="0"/>
          <w:sz w:val="24"/>
          <w:szCs w:val="24"/>
          <w:vertAlign w:val="baseline"/>
          <w:lang w:val="en-US"/>
        </w:rPr>
      </w:pPr>
      <w:r>
        <w:rPr>
          <w:rFonts w:hint="default" w:ascii="Times New Roman" w:hAnsi="Times New Roman" w:eastAsia="Times New Roman" w:cs="Times New Roman"/>
          <w:b/>
          <w:bCs/>
          <w:i w:val="0"/>
          <w:iCs w:val="0"/>
          <w:caps w:val="0"/>
          <w:color w:val="E26C09"/>
          <w:spacing w:val="0"/>
          <w:sz w:val="24"/>
          <w:szCs w:val="24"/>
          <w:vertAlign w:val="baseline"/>
          <w:lang w:val="en-US"/>
        </w:rPr>
        <w:t xml:space="preserve"> Dept. of AIML</w:t>
      </w:r>
    </w:p>
    <w:p w14:paraId="34295732">
      <w:pPr>
        <w:spacing w:after="80" w:line="240" w:lineRule="auto"/>
        <w:jc w:val="center"/>
        <w:rPr>
          <w:rFonts w:ascii="Times New Roman" w:hAnsi="Times New Roman"/>
          <w:b w:val="0"/>
          <w:sz w:val="24"/>
          <w:szCs w:val="24"/>
        </w:rPr>
      </w:pPr>
      <w:r>
        <w:rPr>
          <w:rFonts w:hint="default" w:ascii="Times New Roman" w:hAnsi="Times New Roman" w:eastAsia="Times New Roman" w:cs="Times New Roman"/>
          <w:b/>
          <w:bCs/>
          <w:i w:val="0"/>
          <w:iCs w:val="0"/>
          <w:caps w:val="0"/>
          <w:color w:val="E26C09"/>
          <w:spacing w:val="0"/>
          <w:sz w:val="24"/>
          <w:szCs w:val="24"/>
          <w:vertAlign w:val="baseline"/>
          <w:lang w:val="en-US"/>
        </w:rPr>
        <w:t>Sir MVIT</w:t>
      </w:r>
    </w:p>
    <w:p w14:paraId="4E6A7450">
      <w:pPr>
        <w:spacing w:after="80" w:line="360" w:lineRule="auto"/>
        <w:jc w:val="center"/>
        <w:rPr>
          <w:rFonts w:hint="default" w:ascii="Times New Roman" w:hAnsi="Times New Roman"/>
          <w:b w:val="0"/>
          <w:sz w:val="22"/>
          <w:lang w:val="en-IN"/>
        </w:rPr>
      </w:pPr>
      <w:r>
        <w:rPr>
          <w:rFonts w:hint="default" w:ascii="Times New Roman" w:hAnsi="Times New Roman"/>
          <w:b w:val="0"/>
          <w:sz w:val="22"/>
          <w:lang w:val="en-IN"/>
        </w:rPr>
        <w:drawing>
          <wp:inline distT="0" distB="0" distL="114300" distR="114300">
            <wp:extent cx="986155" cy="1111250"/>
            <wp:effectExtent l="0" t="0" r="4445" b="1270"/>
            <wp:docPr id="2" name="Picture 2" descr="Screenshot 2026-10-12 18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12 182108"/>
                    <pic:cNvPicPr>
                      <a:picLocks noChangeAspect="1"/>
                    </pic:cNvPicPr>
                  </pic:nvPicPr>
                  <pic:blipFill>
                    <a:blip r:embed="rId11"/>
                    <a:stretch>
                      <a:fillRect/>
                    </a:stretch>
                  </pic:blipFill>
                  <pic:spPr>
                    <a:xfrm>
                      <a:off x="0" y="0"/>
                      <a:ext cx="986155" cy="1111250"/>
                    </a:xfrm>
                    <a:prstGeom prst="rect">
                      <a:avLst/>
                    </a:prstGeom>
                  </pic:spPr>
                </pic:pic>
              </a:graphicData>
            </a:graphic>
          </wp:inline>
        </w:drawing>
      </w:r>
    </w:p>
    <w:p w14:paraId="773F6B0C">
      <w:pPr>
        <w:spacing w:after="80" w:line="240" w:lineRule="auto"/>
        <w:jc w:val="center"/>
        <w:rPr>
          <w:color w:val="1F497D" w:themeColor="text2"/>
          <w14:textFill>
            <w14:solidFill>
              <w14:schemeClr w14:val="tx2"/>
            </w14:solidFill>
          </w14:textFill>
        </w:rPr>
      </w:pPr>
      <w:r>
        <w:rPr>
          <w:rFonts w:ascii="Times New Roman" w:hAnsi="Times New Roman"/>
          <w:b/>
          <w:color w:val="1F497D" w:themeColor="text2"/>
          <w:sz w:val="22"/>
          <w14:textFill>
            <w14:solidFill>
              <w14:schemeClr w14:val="tx2"/>
            </w14:solidFill>
          </w14:textFill>
        </w:rPr>
        <w:t>SIR M. VISVESVARAYA INSTITUTE OF TECHNOLOGY</w:t>
      </w:r>
    </w:p>
    <w:p w14:paraId="2ABEB9C8">
      <w:pPr>
        <w:spacing w:after="80" w:line="240" w:lineRule="auto"/>
        <w:jc w:val="center"/>
        <w:rPr>
          <w:color w:val="1F497D" w:themeColor="text2"/>
          <w14:textFill>
            <w14:solidFill>
              <w14:schemeClr w14:val="tx2"/>
            </w14:solidFill>
          </w14:textFill>
        </w:rPr>
      </w:pPr>
      <w:r>
        <w:rPr>
          <w:rFonts w:ascii="Times New Roman" w:hAnsi="Times New Roman"/>
          <w:b/>
          <w:color w:val="1F497D" w:themeColor="text2"/>
          <w:sz w:val="20"/>
          <w14:textFill>
            <w14:solidFill>
              <w14:schemeClr w14:val="tx2"/>
            </w14:solidFill>
          </w14:textFill>
        </w:rPr>
        <w:t>DEPARTMENT OF ARTIFICIAL INTELLIGENCE &amp; MACHINE LEARNING</w:t>
      </w:r>
    </w:p>
    <w:p w14:paraId="67447DBA">
      <w:pPr>
        <w:spacing w:after="80" w:line="240" w:lineRule="auto"/>
        <w:jc w:val="center"/>
        <w:rPr>
          <w:rFonts w:ascii="Times New Roman" w:hAnsi="Times New Roman"/>
          <w:b w:val="0"/>
          <w:color w:val="1F497D" w:themeColor="text2"/>
          <w:sz w:val="22"/>
          <w14:textFill>
            <w14:solidFill>
              <w14:schemeClr w14:val="tx2"/>
            </w14:solidFill>
          </w14:textFill>
        </w:rPr>
      </w:pPr>
      <w:r>
        <w:rPr>
          <w:rFonts w:ascii="Times New Roman" w:hAnsi="Times New Roman"/>
          <w:b w:val="0"/>
          <w:color w:val="1F497D" w:themeColor="text2"/>
          <w:sz w:val="22"/>
          <w14:textFill>
            <w14:solidFill>
              <w14:schemeClr w14:val="tx2"/>
            </w14:solidFill>
          </w14:textFill>
        </w:rPr>
        <w:t>BENGALURU – 562157</w:t>
      </w:r>
    </w:p>
    <w:p w14:paraId="045F150D">
      <w:pPr>
        <w:spacing w:after="80" w:line="240" w:lineRule="auto"/>
        <w:jc w:val="center"/>
        <w:rPr>
          <w:color w:val="0070C0"/>
        </w:rPr>
      </w:pPr>
      <w:r>
        <w:rPr>
          <w:rFonts w:ascii="Times New Roman" w:hAnsi="Times New Roman"/>
          <w:b w:val="0"/>
          <w:color w:val="1F497D" w:themeColor="text2"/>
          <w:sz w:val="22"/>
          <w14:textFill>
            <w14:solidFill>
              <w14:schemeClr w14:val="tx2"/>
            </w14:solidFill>
          </w14:textFill>
        </w:rPr>
        <w:t>2026–2027</w:t>
      </w:r>
    </w:p>
    <w:p w14:paraId="7F6F08F0">
      <w:pPr>
        <w:spacing w:after="80"/>
        <w:jc w:val="center"/>
        <w:rPr>
          <w:rFonts w:ascii="Times New Roman" w:hAnsi="Times New Roman"/>
          <w:b/>
          <w:color w:val="1F1F70"/>
          <w:sz w:val="28"/>
        </w:rPr>
        <w:sectPr>
          <w:footerReference r:id="rId5" w:type="default"/>
          <w:pgSz w:w="12240" w:h="15840"/>
          <w:pgMar w:top="1152" w:right="1296" w:bottom="1080" w:left="1296" w:header="720" w:footer="720" w:gutter="0"/>
          <w:pgBorders w:offsetFrom="page">
            <w:top w:val="twistedLines1" w:color="1F1F70" w:sz="10" w:space="18"/>
            <w:left w:val="twistedLines1" w:color="1F1F70" w:sz="10" w:space="18"/>
            <w:bottom w:val="twistedLines1" w:color="1F1F70" w:sz="10" w:space="18"/>
            <w:right w:val="twistedLines1" w:color="1F1F70" w:sz="10" w:space="18"/>
          </w:pgBorders>
          <w:pgNumType w:fmt="upperRoman"/>
          <w:cols w:space="720" w:num="1"/>
          <w:docGrid w:linePitch="360" w:charSpace="0"/>
        </w:sectPr>
      </w:pPr>
    </w:p>
    <w:p w14:paraId="7A15D8EE">
      <w:pPr>
        <w:spacing w:after="80"/>
        <w:jc w:val="center"/>
        <w:rPr>
          <w:rFonts w:ascii="Times New Roman" w:hAnsi="Times New Roman"/>
          <w:b/>
          <w:color w:val="1F1F70"/>
          <w:sz w:val="28"/>
        </w:rPr>
      </w:pPr>
      <w:r>
        <w:rPr>
          <w:rFonts w:ascii="Times New Roman" w:hAnsi="Times New Roman"/>
          <w:b/>
          <w:color w:val="1F1F70"/>
          <w:sz w:val="28"/>
        </w:rPr>
        <w:t>SIR M. VISVESVARAYA INSTITUTE OF TECHNOLOGY</w:t>
      </w:r>
    </w:p>
    <w:p w14:paraId="3EB604F3">
      <w:pPr>
        <w:spacing w:after="80"/>
        <w:jc w:val="center"/>
        <w:rPr>
          <w:color w:val="4F81BD" w:themeColor="accent1"/>
          <w14:textFill>
            <w14:solidFill>
              <w14:schemeClr w14:val="accent1"/>
            </w14:solidFill>
          </w14:textFill>
        </w:rPr>
      </w:pPr>
      <w:r>
        <w:rPr>
          <w:rFonts w:ascii="Times New Roman" w:hAnsi="Times New Roman"/>
          <w:b/>
          <w:color w:val="4F81BD" w:themeColor="accent1"/>
          <w:sz w:val="24"/>
          <w14:textFill>
            <w14:solidFill>
              <w14:schemeClr w14:val="accent1"/>
            </w14:solidFill>
          </w14:textFill>
        </w:rPr>
        <w:t>Bengaluru – 562157</w:t>
      </w:r>
    </w:p>
    <w:p w14:paraId="6ACA6F8D">
      <w:pPr>
        <w:spacing w:after="80"/>
        <w:jc w:val="center"/>
        <w:rPr>
          <w:color w:val="4F81BD" w:themeColor="accent1"/>
          <w14:textFill>
            <w14:solidFill>
              <w14:schemeClr w14:val="accent1"/>
            </w14:solidFill>
          </w14:textFill>
        </w:rPr>
      </w:pPr>
      <w:r>
        <w:rPr>
          <w:rFonts w:ascii="Times New Roman" w:hAnsi="Times New Roman"/>
          <w:b/>
          <w:color w:val="4F81BD" w:themeColor="accent1"/>
          <w:sz w:val="24"/>
          <w14:textFill>
            <w14:solidFill>
              <w14:schemeClr w14:val="accent1"/>
            </w14:solidFill>
          </w14:textFill>
        </w:rPr>
        <w:t>Department of Artificial Intelligence &amp; Machine Learning</w:t>
      </w:r>
    </w:p>
    <w:p w14:paraId="0FB7BDE9">
      <w:pPr>
        <w:jc w:val="center"/>
        <w:rPr>
          <w:rFonts w:hint="default"/>
          <w:lang w:val="en-IN"/>
        </w:rPr>
      </w:pPr>
      <w:r>
        <w:rPr>
          <w:rFonts w:hint="default"/>
          <w:lang w:val="en-IN"/>
        </w:rPr>
        <w:drawing>
          <wp:inline distT="0" distB="0" distL="114300" distR="114300">
            <wp:extent cx="1455420" cy="1424940"/>
            <wp:effectExtent l="0" t="0" r="7620" b="7620"/>
            <wp:docPr id="3" name="Picture 3" descr="Screenshot 2026-10-12 18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2 182108"/>
                    <pic:cNvPicPr>
                      <a:picLocks noChangeAspect="1"/>
                    </pic:cNvPicPr>
                  </pic:nvPicPr>
                  <pic:blipFill>
                    <a:blip r:embed="rId11"/>
                    <a:stretch>
                      <a:fillRect/>
                    </a:stretch>
                  </pic:blipFill>
                  <pic:spPr>
                    <a:xfrm>
                      <a:off x="0" y="0"/>
                      <a:ext cx="1455420" cy="1424940"/>
                    </a:xfrm>
                    <a:prstGeom prst="rect">
                      <a:avLst/>
                    </a:prstGeom>
                  </pic:spPr>
                </pic:pic>
              </a:graphicData>
            </a:graphic>
          </wp:inline>
        </w:drawing>
      </w:r>
    </w:p>
    <w:p w14:paraId="148E8045">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1" w:beforeAutospacing="0" w:after="0" w:afterAutospacing="0"/>
        <w:ind w:left="72" w:right="288"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FF0000"/>
          <w:spacing w:val="0"/>
          <w:sz w:val="28"/>
          <w:szCs w:val="28"/>
          <w:shd w:val="clear" w:fill="FFFFFF"/>
          <w:vertAlign w:val="baseline"/>
          <w:lang w:val="en-US"/>
        </w:rPr>
        <w:t>CERTIFICATE</w:t>
      </w:r>
    </w:p>
    <w:p w14:paraId="57060D1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249" w:beforeAutospacing="0" w:after="0" w:afterAutospacing="0"/>
        <w:ind w:left="12"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 xml:space="preserve">This is to certify that the project work entitled </w:t>
      </w:r>
      <w:r>
        <w:rPr>
          <w:rFonts w:hint="default" w:ascii="Times New Roman" w:hAnsi="Times New Roman" w:eastAsia="Segoe UI" w:cs="Times New Roman"/>
          <w:b w:val="0"/>
          <w:bCs w:val="0"/>
          <w:i w:val="0"/>
          <w:iCs w:val="0"/>
          <w:caps w:val="0"/>
          <w:color w:val="0900BE"/>
          <w:spacing w:val="0"/>
          <w:sz w:val="24"/>
          <w:szCs w:val="24"/>
          <w:shd w:val="clear" w:fill="FFFFFF"/>
          <w:vertAlign w:val="baseline"/>
          <w:lang w:val="en-US"/>
        </w:rPr>
        <w:t>“</w:t>
      </w:r>
      <w:r>
        <w:rPr>
          <w:rFonts w:hint="default" w:eastAsia="Segoe UI" w:cs="Times New Roman"/>
          <w:b w:val="0"/>
          <w:bCs w:val="0"/>
          <w:i w:val="0"/>
          <w:iCs w:val="0"/>
          <w:caps w:val="0"/>
          <w:color w:val="0900BE"/>
          <w:spacing w:val="0"/>
          <w:sz w:val="24"/>
          <w:szCs w:val="24"/>
          <w:shd w:val="clear" w:fill="FFFFFF"/>
          <w:vertAlign w:val="baseline"/>
          <w:lang w:val="en-IN"/>
        </w:rPr>
        <w:t xml:space="preserve">Handwritten Prescription Recognition Using OCR and Deep Learning</w:t>
      </w:r>
      <w:r>
        <w:rPr>
          <w:rFonts w:hint="default" w:ascii="Times New Roman" w:hAnsi="Times New Roman" w:eastAsia="Segoe UI" w:cs="Times New Roman"/>
          <w:b/>
          <w:bCs/>
          <w:i w:val="0"/>
          <w:iCs w:val="0"/>
          <w:caps w:val="0"/>
          <w:color w:val="0900BE"/>
          <w:spacing w:val="0"/>
          <w:sz w:val="24"/>
          <w:szCs w:val="24"/>
          <w:shd w:val="clear" w:fill="FFFFFF"/>
          <w:vertAlign w:val="baseline"/>
          <w:lang w:val="en-US"/>
        </w:rPr>
        <w:t>”</w:t>
      </w:r>
      <w:r>
        <w:rPr>
          <w:rFonts w:hint="default" w:eastAsia="Segoe UI" w:cs="Times New Roman"/>
          <w:b/>
          <w:bCs/>
          <w:i w:val="0"/>
          <w:iCs w:val="0"/>
          <w:caps w:val="0"/>
          <w:color w:val="0900BE"/>
          <w:spacing w:val="0"/>
          <w:sz w:val="24"/>
          <w:szCs w:val="24"/>
          <w:shd w:val="clear" w:fill="FFFFFF"/>
          <w:vertAlign w:val="baseline"/>
          <w:lang w:val="en-IN"/>
        </w:rPr>
        <w:t xml:space="preserve"> </w:t>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 xml:space="preserve">is a bonafide work carried out by </w:t>
      </w:r>
      <w:r>
        <w:rPr>
          <w:rFonts w:hint="default" w:eastAsia="Segoe UI" w:cs="Times New Roman"/>
          <w:b/>
          <w:bCs/>
          <w:i w:val="0"/>
          <w:iCs w:val="0"/>
          <w:caps w:val="0"/>
          <w:color w:val="006600"/>
          <w:spacing w:val="0"/>
          <w:sz w:val="24"/>
          <w:szCs w:val="24"/>
          <w:shd w:val="clear" w:fill="FFFFFF"/>
          <w:vertAlign w:val="baseline"/>
          <w:lang w:val="en-IN"/>
        </w:rPr>
        <w:t xml:space="preserve">Amandeep Singh (1MV23AI005), Anijesh Kumar (1MV23AI007) and Harit Mehta (1MV23AI019)</w:t>
      </w:r>
      <w:r>
        <w:rPr>
          <w:rFonts w:hint="default" w:ascii="Times New Roman" w:hAnsi="Times New Roman" w:eastAsia="Segoe UI" w:cs="Times New Roman"/>
          <w:b/>
          <w:bCs/>
          <w:i w:val="0"/>
          <w:iCs w:val="0"/>
          <w:caps w:val="0"/>
          <w:color w:val="006600"/>
          <w:spacing w:val="0"/>
          <w:sz w:val="24"/>
          <w:szCs w:val="24"/>
          <w:shd w:val="clear" w:fill="FFFFFF"/>
          <w:vertAlign w:val="baseline"/>
          <w:lang w:val="en-US"/>
        </w:rPr>
        <w:t xml:space="preserve"> </w:t>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 xml:space="preserve">in partial fulfillment for the </w:t>
      </w:r>
      <w:r>
        <w:rPr>
          <w:rFonts w:hint="default" w:eastAsia="Segoe UI" w:cs="Times New Roman"/>
          <w:b w:val="0"/>
          <w:bCs w:val="0"/>
          <w:i w:val="0"/>
          <w:iCs w:val="0"/>
          <w:caps w:val="0"/>
          <w:color w:val="333333"/>
          <w:spacing w:val="0"/>
          <w:sz w:val="24"/>
          <w:szCs w:val="24"/>
          <w:shd w:val="clear" w:fill="FFFFFF"/>
          <w:vertAlign w:val="baseline"/>
          <w:lang w:val="en-IN"/>
        </w:rPr>
        <w:t>7</w:t>
      </w:r>
      <w:r>
        <w:rPr>
          <w:rFonts w:hint="default" w:eastAsia="Segoe UI" w:cs="Times New Roman"/>
          <w:b w:val="0"/>
          <w:bCs w:val="0"/>
          <w:i w:val="0"/>
          <w:iCs w:val="0"/>
          <w:caps w:val="0"/>
          <w:color w:val="333333"/>
          <w:spacing w:val="0"/>
          <w:sz w:val="24"/>
          <w:szCs w:val="24"/>
          <w:shd w:val="clear" w:fill="FFFFFF"/>
          <w:vertAlign w:val="superscript"/>
          <w:lang w:val="en-IN"/>
        </w:rPr>
        <w:t>th</w:t>
      </w:r>
      <w:r>
        <w:rPr>
          <w:rFonts w:hint="default" w:eastAsia="Segoe UI" w:cs="Times New Roman"/>
          <w:b w:val="0"/>
          <w:bCs w:val="0"/>
          <w:i w:val="0"/>
          <w:iCs w:val="0"/>
          <w:caps w:val="0"/>
          <w:color w:val="333333"/>
          <w:spacing w:val="0"/>
          <w:sz w:val="24"/>
          <w:szCs w:val="24"/>
          <w:shd w:val="clear" w:fill="FFFFFF"/>
          <w:vertAlign w:val="baseline"/>
          <w:lang w:val="en-IN"/>
        </w:rPr>
        <w:t xml:space="preserve"/>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 xml:space="preserve"> semester of </w:t>
      </w:r>
      <w:r>
        <w:rPr>
          <w:rFonts w:hint="default" w:ascii="Times New Roman" w:hAnsi="Times New Roman" w:eastAsia="Segoe UI" w:cs="Times New Roman"/>
          <w:b/>
          <w:bCs/>
          <w:i w:val="0"/>
          <w:iCs w:val="0"/>
          <w:caps w:val="0"/>
          <w:color w:val="C00000"/>
          <w:spacing w:val="0"/>
          <w:sz w:val="24"/>
          <w:szCs w:val="24"/>
          <w:shd w:val="clear" w:fill="FFFFFF"/>
          <w:vertAlign w:val="baseline"/>
          <w:lang w:val="en-US"/>
        </w:rPr>
        <w:t>Bachelor of Engineering in Artificial Intelligence &amp; Machine Learning</w:t>
      </w:r>
      <w:r>
        <w:rPr>
          <w:rFonts w:hint="default" w:eastAsia="Segoe UI" w:cs="Times New Roman"/>
          <w:b/>
          <w:bCs/>
          <w:i w:val="0"/>
          <w:iCs w:val="0"/>
          <w:caps w:val="0"/>
          <w:color w:val="C00000"/>
          <w:spacing w:val="0"/>
          <w:sz w:val="24"/>
          <w:szCs w:val="24"/>
          <w:shd w:val="clear" w:fill="FFFFFF"/>
          <w:vertAlign w:val="baseline"/>
          <w:lang w:val="en-IN"/>
        </w:rPr>
        <w:t xml:space="preserve">, </w:t>
      </w:r>
      <w:r>
        <w:rPr>
          <w:rFonts w:hint="default" w:ascii="Times New Roman" w:hAnsi="Times New Roman" w:eastAsia="Segoe UI" w:cs="Times New Roman"/>
          <w:b/>
          <w:bCs/>
          <w:i w:val="0"/>
          <w:iCs w:val="0"/>
          <w:caps w:val="0"/>
          <w:color w:val="C00000"/>
          <w:spacing w:val="0"/>
          <w:sz w:val="24"/>
          <w:szCs w:val="24"/>
          <w:shd w:val="clear" w:fill="FFFFFF"/>
          <w:vertAlign w:val="baseline"/>
          <w:lang w:val="en-US"/>
        </w:rPr>
        <w:t xml:space="preserve">Visvesvaraya Technological University, Belagavi </w:t>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 xml:space="preserve">during the year </w:t>
      </w:r>
      <w:r>
        <w:rPr>
          <w:rFonts w:hint="default" w:ascii="Times New Roman" w:hAnsi="Times New Roman" w:eastAsia="Segoe UI" w:cs="Times New Roman"/>
          <w:b/>
          <w:bCs/>
          <w:i w:val="0"/>
          <w:iCs w:val="0"/>
          <w:caps w:val="0"/>
          <w:color w:val="C00000"/>
          <w:spacing w:val="0"/>
          <w:sz w:val="24"/>
          <w:szCs w:val="24"/>
          <w:shd w:val="clear" w:fill="FFFFFF"/>
          <w:vertAlign w:val="baseline"/>
          <w:lang w:val="en-US"/>
        </w:rPr>
        <w:t xml:space="preserve">2026-2027. </w:t>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It is certified that all corrections</w:t>
      </w:r>
      <w:r>
        <w:rPr>
          <w:rFonts w:hint="default" w:eastAsia="Segoe UI" w:cs="Times New Roman"/>
          <w:b w:val="0"/>
          <w:bCs w:val="0"/>
          <w:i w:val="0"/>
          <w:iCs w:val="0"/>
          <w:caps w:val="0"/>
          <w:color w:val="333333"/>
          <w:spacing w:val="0"/>
          <w:sz w:val="24"/>
          <w:szCs w:val="24"/>
          <w:shd w:val="clear" w:fill="FFFFFF"/>
          <w:vertAlign w:val="baseline"/>
          <w:lang w:val="en-IN"/>
        </w:rPr>
        <w:t xml:space="preserve"> </w:t>
      </w:r>
      <w:r>
        <w:rPr>
          <w:rFonts w:hint="default" w:ascii="Times New Roman" w:hAnsi="Times New Roman" w:eastAsia="Segoe UI" w:cs="Times New Roman"/>
          <w:b w:val="0"/>
          <w:bCs w:val="0"/>
          <w:i w:val="0"/>
          <w:iCs w:val="0"/>
          <w:caps w:val="0"/>
          <w:color w:val="333333"/>
          <w:spacing w:val="0"/>
          <w:sz w:val="24"/>
          <w:szCs w:val="24"/>
          <w:shd w:val="clear" w:fill="FFFFFF"/>
          <w:vertAlign w:val="baseline"/>
          <w:lang w:val="en-US"/>
        </w:rPr>
        <w:t>indicated for internal assessment have been incorporated in the report. The project report has been approved as it satisfies the academic requirements with respect to project work prescribed for the Bachelor of Engineering degree.</w:t>
      </w:r>
    </w:p>
    <w:p w14:paraId="2079D76A"/>
    <w:p w14:paraId="009E6A79"/>
    <w:p w14:paraId="2C97336A"/>
    <w:p w14:paraId="488BEFA4"/>
    <w:p w14:paraId="1B28F0CC"/>
    <w:p w14:paraId="01DD9EBB">
      <w:r>
        <w:rPr>
          <w:b/>
        </w:rPr>
        <w:t xml:space="preserve">.............................................                                      </w:t>
      </w:r>
      <w:r>
        <w:rPr>
          <w:rFonts w:hint="default"/>
          <w:b/>
          <w:lang w:val="en-IN"/>
        </w:rPr>
        <w:t xml:space="preserve">         </w:t>
        <w:tab/>
        <w:tab/>
        <w:t xml:space="preserve">         </w:t>
      </w:r>
      <w:r>
        <w:rPr>
          <w:b/>
        </w:rPr>
        <w:t>............................................</w:t>
      </w:r>
    </w:p>
    <w:p w14:paraId="17CB735F">
      <w:r>
        <w:rPr>
          <w:b/>
        </w:rPr>
        <w:t xml:space="preserve">Signature of Guide                                          </w:t>
      </w:r>
      <w:r>
        <w:rPr>
          <w:rFonts w:hint="default"/>
          <w:b/>
          <w:lang w:val="en-IN"/>
        </w:rPr>
        <w:tab/>
        <w:tab/>
        <w:tab/>
        <w:t xml:space="preserve">    </w:t>
      </w:r>
      <w:r>
        <w:rPr>
          <w:b/>
        </w:rPr>
        <w:t xml:space="preserve"> </w:t>
      </w:r>
      <w:r>
        <w:rPr>
          <w:rFonts w:hint="default"/>
          <w:b/>
          <w:lang w:val="en-IN"/>
        </w:rPr>
        <w:tab/>
      </w:r>
      <w:r>
        <w:rPr>
          <w:b/>
        </w:rPr>
        <w:t>Signature of HOD</w:t>
      </w:r>
    </w:p>
    <w:p w14:paraId="02D9AE7C">
      <w:pPr>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Ms. Lavanya S     </w:t>
      </w:r>
      <w:r>
        <w:rPr>
          <w:b/>
        </w:rPr>
        <w:t xml:space="preserve">                                          </w:t>
      </w:r>
      <w:r>
        <w:rPr>
          <w:rFonts w:hint="default"/>
          <w:b/>
          <w:lang w:val="en-IN"/>
        </w:rPr>
        <w:tab/>
        <w:tab/>
        <w:tab/>
        <w:t xml:space="preserve">    </w:t>
        <w:tab/>
      </w:r>
      <w:r>
        <w:rPr>
          <w:b/>
          <w:color w:val="C0504D" w:themeColor="accent2"/>
          <w14:textFill>
            <w14:solidFill>
              <w14:schemeClr w14:val="accent2"/>
            </w14:solidFill>
          </w14:textFill>
        </w:rPr>
        <w:t>Dr. Soumya Patil</w:t>
      </w:r>
    </w:p>
    <w:p w14:paraId="0A7611F1">
      <w:pPr>
        <w:rPr>
          <w:rFonts w:hint="default" w:ascii="Times New Roman" w:hAnsi="Times New Roman" w:eastAsia="Times New Roman" w:cs="Times New Roman"/>
          <w:i w:val="0"/>
          <w:iCs w:val="0"/>
          <w:caps w:val="0"/>
          <w:color w:val="0900BE"/>
          <w:spacing w:val="0"/>
          <w:sz w:val="24"/>
          <w:szCs w:val="24"/>
          <w:vertAlign w:val="baseline"/>
          <w:lang w:val="en-US"/>
        </w:rPr>
      </w:pPr>
      <w:r>
        <w:rPr>
          <w:rFonts w:hint="default" w:ascii="Times New Roman" w:hAnsi="Times New Roman" w:eastAsia="SimSun" w:cs="Times New Roman"/>
          <w:i w:val="0"/>
          <w:iCs w:val="0"/>
          <w:caps w:val="0"/>
          <w:color w:val="0900BE"/>
          <w:spacing w:val="0"/>
          <w:sz w:val="24"/>
          <w:szCs w:val="24"/>
          <w:shd w:val="clear" w:fill="FFFFFF"/>
          <w:lang w:val="en-IN"/>
        </w:rPr>
        <w:t xml:space="preserve">Assistant Professor,    </w:t>
      </w:r>
      <w:r>
        <w:rPr>
          <w:rFonts w:hint="default" w:ascii="Times New Roman" w:hAnsi="Times New Roman" w:eastAsia="SimSun" w:cs="Times New Roman"/>
          <w:i w:val="0"/>
          <w:iCs w:val="0"/>
          <w:caps w:val="0"/>
          <w:color w:val="0900BE"/>
          <w:spacing w:val="0"/>
          <w:sz w:val="24"/>
          <w:szCs w:val="24"/>
          <w:shd w:val="clear" w:fill="FFFFFF"/>
        </w:rPr>
        <w:t xml:space="preserve"> </w:t>
      </w:r>
      <w:r>
        <w:rPr>
          <w:sz w:val="20"/>
        </w:rPr>
        <w:t xml:space="preserve">           </w:t>
      </w:r>
      <w:r>
        <w:rPr>
          <w:rFonts w:hint="default"/>
          <w:sz w:val="20"/>
          <w:lang w:val="en-IN"/>
        </w:rPr>
        <w:tab/>
        <w:tab/>
        <w:tab/>
        <w:t xml:space="preserve">   </w:t>
        <w:tab/>
        <w:tab/>
        <w:tab/>
        <w:tab/>
        <w:t xml:space="preserve"> </w:t>
      </w:r>
      <w:r>
        <w:rPr>
          <w:rFonts w:hint="default" w:ascii="Times New Roman" w:hAnsi="Times New Roman" w:eastAsia="Times New Roman" w:cs="Times New Roman"/>
          <w:i w:val="0"/>
          <w:iCs w:val="0"/>
          <w:caps w:val="0"/>
          <w:color w:val="0900BE"/>
          <w:spacing w:val="0"/>
          <w:sz w:val="24"/>
          <w:szCs w:val="24"/>
          <w:vertAlign w:val="baseline"/>
          <w:lang w:val="en-US"/>
        </w:rPr>
        <w:t>Assoc. Prof. &amp; HOD,</w:t>
      </w:r>
    </w:p>
    <w:p w14:paraId="793F3C14">
      <w:pPr>
        <w:rPr>
          <w:rFonts w:hint="default" w:ascii="Times New Roman" w:hAnsi="Times New Roman" w:eastAsia="Times New Roman" w:cs="Times New Roman"/>
          <w:i w:val="0"/>
          <w:iCs w:val="0"/>
          <w:caps w:val="0"/>
          <w:color w:val="0900BE"/>
          <w:spacing w:val="0"/>
          <w:sz w:val="24"/>
          <w:szCs w:val="24"/>
          <w:vertAlign w:val="baseline"/>
          <w:lang w:val="en-IN"/>
        </w:rPr>
      </w:pPr>
      <w:r>
        <w:rPr>
          <w:rFonts w:hint="default" w:ascii="Times New Roman" w:hAnsi="Times New Roman" w:eastAsia="SimSun" w:cs="Times New Roman"/>
          <w:i w:val="0"/>
          <w:iCs w:val="0"/>
          <w:caps w:val="0"/>
          <w:color w:val="0900BE"/>
          <w:spacing w:val="0"/>
          <w:sz w:val="21"/>
          <w:szCs w:val="21"/>
          <w:shd w:val="clear" w:fill="FFFFFF"/>
          <w:lang w:val="en-US"/>
        </w:rPr>
        <w:t xml:space="preserve">Dept. of AIML, SMVIT</w:t>
      </w:r>
      <w:r>
        <w:rPr>
          <w:rFonts w:hint="default" w:eastAsia="SimSun" w:cs="Times New Roman"/>
          <w:i w:val="0"/>
          <w:iCs w:val="0"/>
          <w:caps w:val="0"/>
          <w:color w:val="0900BE"/>
          <w:spacing w:val="0"/>
          <w:sz w:val="21"/>
          <w:szCs w:val="21"/>
          <w:shd w:val="clear" w:fill="FFFFFF"/>
          <w:lang w:val="en-IN"/>
        </w:rPr>
        <w:tab/>
        <w:tab/>
        <w:tab/>
        <w:tab/>
        <w:tab/>
        <w:tab/>
        <w:tab/>
        <w:tab/>
      </w:r>
      <w:r>
        <w:rPr>
          <w:rFonts w:hint="default" w:cs="Times New Roman"/>
          <w:i w:val="0"/>
          <w:iCs w:val="0"/>
          <w:caps w:val="0"/>
          <w:color w:val="0900BE"/>
          <w:spacing w:val="0"/>
          <w:sz w:val="24"/>
          <w:szCs w:val="24"/>
          <w:vertAlign w:val="baseline"/>
          <w:lang w:val="en-IN"/>
        </w:rPr>
        <w:t xml:space="preserve"> </w:t>
      </w:r>
      <w:r>
        <w:rPr>
          <w:rFonts w:hint="default" w:ascii="Times New Roman" w:hAnsi="Times New Roman" w:eastAsia="SimSun" w:cs="Times New Roman"/>
          <w:i w:val="0"/>
          <w:iCs w:val="0"/>
          <w:caps w:val="0"/>
          <w:color w:val="0900BE"/>
          <w:spacing w:val="0"/>
          <w:sz w:val="24"/>
          <w:szCs w:val="24"/>
          <w:shd w:val="clear" w:fill="FFFFFF"/>
        </w:rPr>
        <w:t xml:space="preserve">Dept. of AIML, SMVIT</w:t>
      </w:r>
    </w:p>
    <w:p w14:paraId="2057A3C2">
      <w:r>
        <w:br w:type="page"/>
      </w:r>
    </w:p>
    <w:p w14:paraId="47197481">
      <w:pPr>
        <w:spacing w:after="80"/>
        <w:jc w:val="center"/>
      </w:pPr>
      <w:r>
        <w:rPr>
          <w:rFonts w:ascii="Times New Roman" w:hAnsi="Times New Roman"/>
          <w:b/>
          <w:color w:val="000000" w:themeColor="text1"/>
          <w:sz w:val="32"/>
          <w14:textFill>
            <w14:solidFill>
              <w14:schemeClr w14:val="tx1"/>
            </w14:solidFill>
          </w14:textFill>
        </w:rPr>
        <w:t>DECLARATION</w:t>
      </w:r>
    </w:p>
    <w:p w14:paraId="287C7838">
      <w:pPr>
        <w:jc w:val="both"/>
      </w:pPr>
      <w:r>
        <w:rPr>
          <w:rFonts w:hint="default" w:ascii="Times New Roman" w:hAnsi="Times New Roman" w:eastAsia="SimSun" w:cs="Times New Roman"/>
          <w:i w:val="0"/>
          <w:iCs w:val="0"/>
          <w:caps w:val="0"/>
          <w:color w:val="000000"/>
          <w:spacing w:val="0"/>
          <w:sz w:val="24"/>
          <w:szCs w:val="24"/>
          <w:shd w:val="clear" w:fill="FFFFFF"/>
          <w:lang w:val="en-US"/>
        </w:rPr>
        <w:t xml:space="preserve">We, </w:t>
      </w:r>
      <w:r>
        <w:rPr>
          <w:rFonts w:hint="default" w:eastAsia="Segoe UI" w:cs="Times New Roman"/>
          <w:b/>
          <w:bCs/>
          <w:i w:val="0"/>
          <w:iCs w:val="0"/>
          <w:caps w:val="0"/>
          <w:color w:val="000000" w:themeColor="text1"/>
          <w:spacing w:val="0"/>
          <w:sz w:val="24"/>
          <w:szCs w:val="24"/>
          <w:shd w:val="clear" w:fill="FFFFFF"/>
          <w:vertAlign w:val="baseline"/>
          <w:lang w:val="en-IN"/>
          <w14:textFill>
            <w14:solidFill>
              <w14:schemeClr w14:val="tx1"/>
            </w14:solidFill>
          </w14:textFill>
        </w:rPr>
        <w:t xml:space="preserve">Amandeep Singh, Anijesh Kumar and Harit Mehta</w:t>
      </w:r>
      <w:r>
        <w:rPr>
          <w:rFonts w:hint="default" w:ascii="Times New Roman" w:hAnsi="Times New Roman" w:eastAsia="SimSun" w:cs="Times New Roman"/>
          <w:b/>
          <w:bCs/>
          <w:i w:val="0"/>
          <w:iCs w:val="0"/>
          <w:caps w:val="0"/>
          <w:color w:val="000000"/>
          <w:spacing w:val="0"/>
          <w:sz w:val="24"/>
          <w:szCs w:val="24"/>
          <w:shd w:val="clear" w:fill="FFFFFF"/>
          <w:lang w:val="en-US"/>
        </w:rPr>
        <w:t xml:space="preserve">, </w:t>
      </w:r>
      <w:r>
        <w:rPr>
          <w:rFonts w:hint="default" w:ascii="Times New Roman" w:hAnsi="Times New Roman" w:eastAsia="SimSun" w:cs="Times New Roman"/>
          <w:i w:val="0"/>
          <w:iCs w:val="0"/>
          <w:caps w:val="0"/>
          <w:color w:val="000000"/>
          <w:spacing w:val="0"/>
          <w:sz w:val="24"/>
          <w:szCs w:val="24"/>
          <w:shd w:val="clear" w:fill="FFFFFF"/>
          <w:lang w:val="en-US"/>
        </w:rPr>
        <w:t xml:space="preserve">student</w:t>
      </w:r>
      <w:r>
        <w:rPr>
          <w:rFonts w:hint="default" w:eastAsia="SimSun" w:cs="Times New Roman"/>
          <w:i w:val="0"/>
          <w:iCs w:val="0"/>
          <w:caps w:val="0"/>
          <w:color w:val="000000"/>
          <w:spacing w:val="0"/>
          <w:sz w:val="24"/>
          <w:szCs w:val="24"/>
          <w:shd w:val="clear" w:fill="FFFFFF"/>
          <w:lang w:val="en-IN"/>
        </w:rPr>
        <w:t xml:space="preserve">s</w:t>
      </w:r>
      <w:r>
        <w:rPr>
          <w:rFonts w:hint="default" w:ascii="Times New Roman" w:hAnsi="Times New Roman" w:eastAsia="SimSun" w:cs="Times New Roman"/>
          <w:i w:val="0"/>
          <w:iCs w:val="0"/>
          <w:caps w:val="0"/>
          <w:color w:val="000000"/>
          <w:spacing w:val="0"/>
          <w:sz w:val="24"/>
          <w:szCs w:val="24"/>
          <w:shd w:val="clear" w:fill="FFFFFF"/>
          <w:lang w:val="en-US"/>
        </w:rPr>
        <w:t xml:space="preserve"> of </w:t>
      </w:r>
      <w:r>
        <w:rPr>
          <w:rFonts w:hint="default" w:eastAsia="SimSun" w:cs="Times New Roman"/>
          <w:i w:val="0"/>
          <w:iCs w:val="0"/>
          <w:caps w:val="0"/>
          <w:color w:val="000000"/>
          <w:spacing w:val="0"/>
          <w:sz w:val="24"/>
          <w:szCs w:val="24"/>
          <w:shd w:val="clear" w:fill="FFFFFF"/>
          <w:lang w:val="en-IN"/>
        </w:rPr>
        <w:t>VII</w:t>
      </w:r>
      <w:r>
        <w:rPr>
          <w:rFonts w:hint="default" w:ascii="Times New Roman" w:hAnsi="Times New Roman" w:eastAsia="SimSun" w:cs="Times New Roman"/>
          <w:i w:val="0"/>
          <w:iCs w:val="0"/>
          <w:caps w:val="0"/>
          <w:color w:val="000000"/>
          <w:spacing w:val="0"/>
          <w:sz w:val="24"/>
          <w:szCs w:val="24"/>
          <w:shd w:val="clear" w:fill="FFFFFF"/>
          <w:lang w:val="en-US"/>
        </w:rPr>
        <w:t xml:space="preserve"> semester B.E in Artificial Intelligence &amp; Machine Learning at Sir M. Visvesvaraya Institute of Technology, Bengaluru, hereby declare that this dissertation work entitled “</w:t>
      </w:r>
      <w:r>
        <w:rPr>
          <w:rFonts w:hint="default" w:eastAsia="SimSun" w:cs="Times New Roman"/>
          <w:b/>
          <w:bCs/>
          <w:i w:val="0"/>
          <w:iCs w:val="0"/>
          <w:caps w:val="0"/>
          <w:color w:val="000000"/>
          <w:spacing w:val="0"/>
          <w:sz w:val="24"/>
          <w:szCs w:val="24"/>
          <w:shd w:val="clear" w:fill="FFFFFF"/>
          <w:lang w:val="en-IN"/>
        </w:rPr>
        <w:t xml:space="preserve">HANDWRITTEN PRESCRIPTION RECOGNITION USING OCR AND DEEP LEARNING</w:t>
      </w:r>
      <w:r>
        <w:rPr>
          <w:rFonts w:hint="default" w:ascii="Times New Roman" w:hAnsi="Times New Roman" w:eastAsia="SimSun" w:cs="Times New Roman"/>
          <w:i w:val="0"/>
          <w:iCs w:val="0"/>
          <w:caps w:val="0"/>
          <w:color w:val="000000"/>
          <w:spacing w:val="0"/>
          <w:sz w:val="24"/>
          <w:szCs w:val="24"/>
          <w:shd w:val="clear" w:fill="FFFFFF"/>
          <w:lang w:val="en-US"/>
        </w:rPr>
        <w:t>”</w:t>
      </w:r>
      <w:r>
        <w:rPr>
          <w:rFonts w:hint="default" w:ascii="Times New Roman" w:hAnsi="Times New Roman" w:eastAsia="SimSun" w:cs="Times New Roman"/>
          <w:b/>
          <w:bCs/>
          <w:i w:val="0"/>
          <w:iCs w:val="0"/>
          <w:caps w:val="0"/>
          <w:color w:val="000000"/>
          <w:spacing w:val="0"/>
          <w:sz w:val="24"/>
          <w:szCs w:val="24"/>
          <w:shd w:val="clear" w:fill="FFFFFF"/>
          <w:lang w:val="en-US"/>
        </w:rPr>
        <w:t xml:space="preserve"> </w:t>
      </w:r>
      <w:r>
        <w:rPr>
          <w:rFonts w:hint="default" w:ascii="Times New Roman" w:hAnsi="Times New Roman" w:eastAsia="SimSun" w:cs="Times New Roman"/>
          <w:i w:val="0"/>
          <w:iCs w:val="0"/>
          <w:caps w:val="0"/>
          <w:color w:val="000000"/>
          <w:spacing w:val="0"/>
          <w:sz w:val="24"/>
          <w:szCs w:val="24"/>
          <w:shd w:val="clear" w:fill="FFFFFF"/>
          <w:lang w:val="en-US"/>
        </w:rPr>
        <w:t xml:space="preserve">has been carried out at Dept. of AIML, Sir M. Visvesvaraya Institute of Technology under the guidance of </w:t>
      </w:r>
      <w:r>
        <w:rPr>
          <w:rFonts w:hint="default" w:eastAsia="SimSun" w:cs="Times New Roman"/>
          <w:i w:val="0"/>
          <w:iCs w:val="0"/>
          <w:caps w:val="0"/>
          <w:color w:val="000000"/>
          <w:spacing w:val="0"/>
          <w:sz w:val="24"/>
          <w:szCs w:val="24"/>
          <w:shd w:val="clear" w:fill="FFFFFF"/>
          <w:lang w:val="en-IN"/>
        </w:rPr>
        <w:t xml:space="preserve">Ms. </w:t>
      </w:r>
      <w:r>
        <w:rPr>
          <w:rFonts w:hint="default" w:ascii="Times New Roman" w:hAnsi="Times New Roman" w:eastAsia="SimSun" w:cs="Times New Roman"/>
          <w:b/>
          <w:bCs/>
          <w:i w:val="0"/>
          <w:iCs w:val="0"/>
          <w:caps w:val="0"/>
          <w:color w:val="000000"/>
          <w:spacing w:val="0"/>
          <w:sz w:val="24"/>
          <w:szCs w:val="24"/>
          <w:shd w:val="clear" w:fill="FFFFFF"/>
          <w:lang w:val="en-US"/>
        </w:rPr>
        <w:t>Lavanya S</w:t>
      </w:r>
      <w:r>
        <w:rPr>
          <w:rFonts w:hint="default" w:ascii="Times New Roman" w:hAnsi="Times New Roman" w:eastAsia="SimSun" w:cs="Times New Roman"/>
          <w:i w:val="0"/>
          <w:iCs w:val="0"/>
          <w:caps w:val="0"/>
          <w:color w:val="000000"/>
          <w:spacing w:val="0"/>
          <w:sz w:val="24"/>
          <w:szCs w:val="24"/>
          <w:shd w:val="clear" w:fill="FFFFFF"/>
          <w:lang w:val="en-US"/>
        </w:rPr>
        <w:t xml:space="preserve">, </w:t>
      </w:r>
      <w:r>
        <w:rPr>
          <w:rFonts w:hint="default" w:ascii="Times New Roman" w:hAnsi="Times New Roman" w:eastAsia="SimSun" w:cs="Times New Roman"/>
          <w:b/>
          <w:bCs/>
          <w:i w:val="0"/>
          <w:iCs w:val="0"/>
          <w:caps w:val="0"/>
          <w:color w:val="000000"/>
          <w:spacing w:val="0"/>
          <w:sz w:val="24"/>
          <w:szCs w:val="24"/>
          <w:shd w:val="clear" w:fill="FFFFFF"/>
          <w:lang w:val="en-US"/>
        </w:rPr>
        <w:t xml:space="preserve">Assistant Professor, Dept. of AIML, Sir M. Visvesvaraya Institute of Technology, Bengaluru </w:t>
      </w:r>
      <w:r>
        <w:rPr>
          <w:rFonts w:hint="default" w:ascii="Times New Roman" w:hAnsi="Times New Roman" w:eastAsia="SimSun" w:cs="Times New Roman"/>
          <w:i w:val="0"/>
          <w:iCs w:val="0"/>
          <w:caps w:val="0"/>
          <w:color w:val="000000"/>
          <w:spacing w:val="0"/>
          <w:sz w:val="24"/>
          <w:szCs w:val="24"/>
          <w:shd w:val="clear" w:fill="FFFFFF"/>
          <w:lang w:val="en-US"/>
        </w:rPr>
        <w:t xml:space="preserve">and submitted in the partial fulfilment for the </w:t>
      </w:r>
      <w:r>
        <w:rPr>
          <w:rFonts w:hint="default" w:eastAsia="SimSun" w:cs="Times New Roman"/>
          <w:i w:val="0"/>
          <w:iCs w:val="0"/>
          <w:caps w:val="0"/>
          <w:color w:val="000000"/>
          <w:spacing w:val="0"/>
          <w:sz w:val="24"/>
          <w:szCs w:val="24"/>
          <w:shd w:val="clear" w:fill="FFFFFF"/>
          <w:lang w:val="en-IN"/>
        </w:rPr>
        <w:t>7</w:t>
      </w:r>
      <w:r>
        <w:rPr>
          <w:rFonts w:hint="default" w:eastAsia="SimSun" w:cs="Times New Roman"/>
          <w:i w:val="0"/>
          <w:iCs w:val="0"/>
          <w:caps w:val="0"/>
          <w:color w:val="000000"/>
          <w:spacing w:val="0"/>
          <w:sz w:val="24"/>
          <w:szCs w:val="24"/>
          <w:shd w:val="clear" w:fill="FFFFFF"/>
          <w:vertAlign w:val="superscript"/>
          <w:lang w:val="en-IN"/>
        </w:rPr>
        <w:t>th</w:t>
      </w:r>
      <w:r>
        <w:rPr>
          <w:rFonts w:hint="default" w:eastAsia="SimSun" w:cs="Times New Roman"/>
          <w:i w:val="0"/>
          <w:iCs w:val="0"/>
          <w:caps w:val="0"/>
          <w:color w:val="000000"/>
          <w:spacing w:val="0"/>
          <w:sz w:val="24"/>
          <w:szCs w:val="24"/>
          <w:shd w:val="clear" w:fill="FFFFFF"/>
          <w:lang w:val="en-IN"/>
        </w:rPr>
        <w:t xml:space="preserve"/>
      </w:r>
      <w:r>
        <w:rPr>
          <w:rFonts w:hint="default" w:ascii="Times New Roman" w:hAnsi="Times New Roman" w:eastAsia="SimSun" w:cs="Times New Roman"/>
          <w:i w:val="0"/>
          <w:iCs w:val="0"/>
          <w:caps w:val="0"/>
          <w:color w:val="000000"/>
          <w:spacing w:val="0"/>
          <w:sz w:val="24"/>
          <w:szCs w:val="24"/>
          <w:shd w:val="clear" w:fill="FFFFFF"/>
          <w:lang w:val="en-US"/>
        </w:rPr>
        <w:t xml:space="preserve"> semester of Bachelor of Engineering in Artificial Intelligence &amp; Machine Learning of Visvesvaraya Technological University, Belagavi during the academic year 2026-2027. We further declare that the report has not been submitted to any other university for the award of any other degree.</w:t>
      </w:r>
    </w:p>
    <w:p w14:paraId="59C1A9BB"/>
    <w:p w14:paraId="61F350B7"/>
    <w:p w14:paraId="147896CD"/>
    <w:p w14:paraId="0CE20598">
      <w:r>
        <w:t>Place: Bengaluru</w:t>
      </w:r>
      <w:r>
        <w:rPr>
          <w:rFonts w:hint="default"/>
          <w:lang w:val="en-IN"/>
        </w:rPr>
        <w:t xml:space="preserve"> </w:t>
        <w:tab/>
        <w:tab/>
        <w:tab/>
        <w:t xml:space="preserve">                        </w:t>
      </w:r>
      <w:r>
        <w:t xml:space="preserve">STUDENT NAME(S): </w:t>
      </w:r>
    </w:p>
    <w:p w14:paraId="50B8088A">
      <w:pPr>
        <w:ind w:left="4320" w:leftChars="0" w:firstLine="720" w:firstLineChars="0"/>
        <w:rPr>
          <w:rFonts w:hint="default"/>
          <w:lang w:val="en-IN"/>
        </w:rPr>
      </w:pPr>
      <w:r>
        <w:rPr>
          <w:rFonts w:hint="default"/>
          <w:lang w:val="en-IN"/>
        </w:rPr>
        <w:t xml:space="preserve">Amandeep Singh [1MV23AI005]</w:t>
      </w:r>
    </w:p>
    <w:p w14:paraId="7071A288">
      <w:pPr>
        <w:numPr>
          <w:ilvl w:val="0"/>
          <w:numId w:val="0"/>
        </w:numPr>
        <w:ind w:left="5040" w:leftChars="0"/>
        <w:rPr>
          <w:rFonts w:hint="default"/>
          <w:lang w:val="en-IN"/>
        </w:rPr>
      </w:pPr>
      <w:r>
        <w:rPr>
          <w:rFonts w:hint="default"/>
          <w:lang w:val="en-IN"/>
        </w:rPr>
        <w:t xml:space="preserve">Anijesh Kumar [1MV23AI007]</w:t>
      </w:r>
    </w:p>
    <w:p w14:paraId="28695BA3">
      <w:pPr>
        <w:numPr>
          <w:ilvl w:val="0"/>
          <w:numId w:val="0"/>
        </w:numPr>
        <w:ind w:left="5040" w:leftChars="0"/>
        <w:rPr>
          <w:rFonts w:hint="default"/>
          <w:lang w:val="en-IN"/>
        </w:rPr>
      </w:pPr>
      <w:r>
        <w:rPr>
          <w:rFonts w:hint="default"/>
          <w:lang w:val="en-IN"/>
        </w:rPr>
        <w:t xml:space="preserve">Harit Mehta [1MV23AI019]</w:t>
      </w:r>
    </w:p>
    <w:p w14:paraId="752C74F0">
      <w:pPr>
        <w:rPr>
          <w:rFonts w:hint="default"/>
          <w:lang w:val="en-IN"/>
        </w:rPr>
      </w:pPr>
      <w:r>
        <w:t xml:space="preserve">Date: </w:t>
      </w:r>
      <w:r>
        <w:rPr>
          <w:rFonts w:hint="default"/>
          <w:lang w:val="en-IN"/>
        </w:rPr>
        <w:t>14</w:t>
      </w:r>
      <w:r>
        <w:t>/</w:t>
      </w:r>
      <w:r>
        <w:rPr>
          <w:rFonts w:hint="default"/>
          <w:lang w:val="en-IN"/>
        </w:rPr>
        <w:t>10</w:t>
      </w:r>
      <w:r>
        <w:t>/</w:t>
      </w:r>
      <w:r>
        <w:rPr>
          <w:rFonts w:hint="default"/>
          <w:lang w:val="en-IN"/>
        </w:rPr>
        <w:t>2026</w:t>
      </w:r>
    </w:p>
    <w:p w14:paraId="423D9651"/>
    <w:p w14:paraId="3EA1630A">
      <w:r>
        <w:br w:type="page"/>
      </w:r>
    </w:p>
    <w:p w14:paraId="2F6272F6">
      <w:pPr>
        <w:spacing w:after="80"/>
        <w:jc w:val="center"/>
      </w:pPr>
      <w:r>
        <w:rPr>
          <w:rFonts w:ascii="Times New Roman" w:hAnsi="Times New Roman"/>
          <w:b/>
          <w:sz w:val="32"/>
        </w:rPr>
        <w:t>CONTENTS</w:t>
      </w:r>
    </w:p>
    <w:p w14:paraId="62D29D5D">
      <w:pPr>
        <w:spacing w:before="200"/>
        <w:ind w:left="504"/>
      </w:pPr>
      <w:r>
        <w:rPr>
          <w:b/>
          <w:sz w:val="24"/>
        </w:rPr>
        <w:t>ABSTRACT</w:t>
      </w:r>
    </w:p>
    <w:p w14:paraId="5BA67840">
      <w:pPr>
        <w:spacing w:before="200"/>
        <w:ind w:left="504"/>
      </w:pPr>
      <w:r>
        <w:rPr>
          <w:b/>
          <w:sz w:val="24"/>
        </w:rPr>
        <w:t>I. INTRODUCTION</w:t>
      </w:r>
    </w:p>
    <w:p w14:paraId="0F21A638">
      <w:pPr>
        <w:spacing w:before="200"/>
        <w:ind w:left="504"/>
      </w:pPr>
      <w:r>
        <w:rPr>
          <w:b/>
          <w:sz w:val="24"/>
        </w:rPr>
        <w:t>II. LITERATURE SURVEY</w:t>
      </w:r>
    </w:p>
    <w:p w14:paraId="3F45082A">
      <w:pPr>
        <w:spacing w:before="200"/>
        <w:ind w:left="504"/>
      </w:pPr>
      <w:r>
        <w:rPr>
          <w:b/>
          <w:sz w:val="24"/>
        </w:rPr>
        <w:t>III. PROBLEM STATEMENT</w:t>
      </w:r>
    </w:p>
    <w:p w14:paraId="6DF3BB52">
      <w:pPr>
        <w:spacing w:before="200"/>
        <w:ind w:left="504"/>
      </w:pPr>
      <w:r>
        <w:rPr>
          <w:b/>
          <w:sz w:val="24"/>
        </w:rPr>
        <w:t>IV. SIGNIFICANCE &amp; RELEVANCE OF WORK</w:t>
      </w:r>
    </w:p>
    <w:p w14:paraId="1CB922BA">
      <w:pPr>
        <w:spacing w:before="200"/>
        <w:ind w:left="504"/>
      </w:pPr>
      <w:r>
        <w:rPr>
          <w:b/>
          <w:sz w:val="24"/>
        </w:rPr>
        <w:t>V. OBJECTIVES AND METHODOLOGY</w:t>
      </w:r>
    </w:p>
    <w:p w14:paraId="209DD0BF">
      <w:pPr>
        <w:spacing w:before="200"/>
        <w:ind w:left="504"/>
      </w:pPr>
      <w:r>
        <w:rPr>
          <w:b/>
          <w:sz w:val="24"/>
        </w:rPr>
        <w:t>VI. SOFTWARE REQUIREMENTS SPECIFICATION (SRS)</w:t>
      </w:r>
    </w:p>
    <w:p w14:paraId="3637CC2D">
      <w:pPr>
        <w:spacing w:before="200"/>
        <w:ind w:left="504"/>
      </w:pPr>
      <w:r>
        <w:rPr>
          <w:b/>
          <w:sz w:val="24"/>
        </w:rPr>
        <w:t>VII. ANALYSIS &amp; DESIGN</w:t>
      </w:r>
    </w:p>
    <w:p w14:paraId="1DF863E0">
      <w:pPr>
        <w:spacing w:before="200"/>
        <w:ind w:left="504"/>
      </w:pPr>
      <w:r>
        <w:rPr>
          <w:b/>
          <w:sz w:val="24"/>
        </w:rPr>
        <w:t>VIII. CONCLUSION</w:t>
      </w:r>
    </w:p>
    <w:p w14:paraId="05074DDC">
      <w:pPr>
        <w:spacing w:before="200"/>
        <w:ind w:left="504"/>
      </w:pPr>
      <w:r>
        <w:rPr>
          <w:b/>
          <w:sz w:val="24"/>
        </w:rPr>
        <w:t>REFERENCES</w:t>
      </w:r>
    </w:p>
    <w:p w14:paraId="41D47F09">
      <w:pPr>
        <w:spacing w:after="80"/>
        <w:jc w:val="center"/>
        <w:rPr>
          <w:rFonts w:ascii="Times New Roman" w:hAnsi="Times New Roman"/>
          <w:b/>
          <w:color w:val="1F1F70"/>
          <w:sz w:val="30"/>
        </w:rPr>
        <w:sectPr>
          <w:footerReference r:id="rId6" w:type="default"/>
          <w:pgSz w:w="12240" w:h="15840"/>
          <w:pgMar w:top="1152" w:right="1296" w:bottom="1080" w:left="1296" w:header="720" w:footer="720" w:gutter="0"/>
          <w:pgBorders w:offsetFrom="page">
            <w:top w:val="twistedLines1" w:color="1F1F70" w:sz="10" w:space="18"/>
            <w:left w:val="twistedLines1" w:color="1F1F70" w:sz="10" w:space="18"/>
            <w:bottom w:val="twistedLines1" w:color="1F1F70" w:sz="10" w:space="18"/>
            <w:right w:val="twistedLines1" w:color="1F1F70" w:sz="10" w:space="18"/>
          </w:pgBorders>
          <w:pgNumType w:fmt="upperRoman" w:start="1"/>
          <w:cols w:space="720" w:num="1"/>
          <w:docGrid w:linePitch="360" w:charSpace="0"/>
        </w:sectPr>
      </w:pPr>
    </w:p>
    <w:p w14:paraId="0C67C1F7">
      <w:pPr>
        <w:spacing w:after="80"/>
        <w:jc w:val="center"/>
        <w:rPr>
          <w:rFonts w:ascii="Times New Roman" w:hAnsi="Times New Roman"/>
          <w:b/>
          <w:color w:val="1F1F70"/>
          <w:sz w:val="30"/>
        </w:rPr>
      </w:pPr>
      <w:r>
        <w:rPr>
          <w:rFonts w:ascii="Times New Roman" w:hAnsi="Times New Roman"/>
          <w:b/>
          <w:color w:val="1F1F70"/>
          <w:sz w:val="30"/>
        </w:rPr>
        <w:t>ABSTRACT</w:t>
      </w:r>
    </w:p>
    <w:p w14:paraId="4EBDE00B">
      <w:pPr>
        <w:spacing w:after="80"/>
        <w:jc w:val="center"/>
        <w:rPr>
          <w:rFonts w:ascii="Times New Roman" w:hAnsi="Times New Roman"/>
          <w:b/>
          <w:color w:val="1F1F70"/>
          <w:sz w:val="30"/>
        </w:rPr>
      </w:pPr>
    </w:p>
    <w:p w14:paraId="6263C70D">
      <w:pPr>
        <w:pStyle w:val="33"/>
        <w:keepNext w:val="0"/>
        <w:keepLines w:val="0"/>
        <w:widowControl/>
        <w:suppressLineNumbers w:val="0"/>
        <w:spacing w:line="360" w:lineRule="auto"/>
        <w:jc w:val="both"/>
      </w:pPr>
      <w:r>
        <w:t xml:space="preserve">Handwritten medical prescriptions are still common in many clinics, yet irregular cursive writing makes medicine names difficult for pharmacists, patients, and software systems to read, and misreading them can contribute to medication errors. This project investigates automated recognition of handwritten medicine names using two complementary approaches evaluated on the same labelled data. The first is a classical Optical Character Recognition (OCR) pipeline: images are denoised with a bilateral filter, text regions are located with adaptive thresholding, morphological dilation, and contour analysis in OpenCV, the regions are read with the Tesseract engine, and the resulting text is matched against a vocabulary of 78 medicine names using RapidFuzz fuzzy string matching. A lightweight rule-based extractor additionally tags drug names, dosages, and dosing frequencies in full prescription images. The second approach treats recognition as image classification and compares three Convolutional Neural Networks (CNNs) implemented in PyTorch: ResNet-50 and DenseNet-121 with ImageNet-pretrained backbones, and a compact CNN trained from scratch with an ElasticNet (L1 + L2) penalty. All approaches are evaluated on a held-out test set of 780 word images (10 per class) using accuracy, macro F1-score, macro one-vs-rest ROC-AUC, and confusion matrices. The OCR-and-match pipeline reached 3.1% accuracy, only slightly above the 1.3% expected from random guessing, confirming that a general-purpose OCR engine is poorly suited to doctors' handwriting. Transfer learning performed best, with ResNet-50 achieving a test ROC-AUC of 0.72 and 8% top-1 accuracy after three epochs of training only its classification head. These baseline results establish a reproducible evaluation framework and identify handwriting-specific recognizers, longer fine-tuning, and larger datasets as the main directions for improvement.</w:t>
      </w:r>
    </w:p>
    <w:p w14:paraId="38D815B3">
      <w:pPr>
        <w:spacing w:after="80"/>
        <w:jc w:val="center"/>
        <w:rPr>
          <w:rFonts w:ascii="Times New Roman" w:hAnsi="Times New Roman"/>
          <w:b/>
          <w:color w:val="1F1F70"/>
          <w:sz w:val="30"/>
        </w:rPr>
      </w:pPr>
    </w:p>
    <w:p w14:paraId="7127917D">
      <w:pPr>
        <w:spacing w:after="80"/>
        <w:jc w:val="center"/>
        <w:rPr>
          <w:rFonts w:ascii="Times New Roman" w:hAnsi="Times New Roman"/>
          <w:b/>
          <w:color w:val="1F1F70"/>
          <w:sz w:val="30"/>
        </w:rPr>
        <w:sectPr>
          <w:footerReference r:id="rId7" w:type="default"/>
          <w:pgSz w:w="12240" w:h="15840"/>
          <w:pgMar w:top="1152" w:right="1296" w:bottom="1080" w:left="1296" w:header="720" w:footer="720" w:gutter="0"/>
          <w:pgBorders w:display="firstPage" w:offsetFrom="page">
            <w:top w:val="none" w:sz="0" w:space="0"/>
            <w:left w:val="none" w:sz="0" w:space="0"/>
            <w:bottom w:val="none" w:sz="0" w:space="0"/>
            <w:right w:val="none" w:sz="0" w:space="0"/>
          </w:pgBorders>
          <w:pgNumType w:fmt="upperRoman" w:start="4"/>
          <w:cols w:space="720" w:num="1"/>
          <w:docGrid w:linePitch="360" w:charSpace="0"/>
        </w:sectPr>
      </w:pPr>
    </w:p>
    <w:p w14:paraId="4C082BF8">
      <w:pPr>
        <w:spacing w:after="80"/>
        <w:jc w:val="center"/>
      </w:pPr>
      <w:r>
        <w:rPr>
          <w:rFonts w:ascii="Times New Roman" w:hAnsi="Times New Roman"/>
          <w:b/>
          <w:color w:val="1F1F70"/>
          <w:sz w:val="30"/>
        </w:rPr>
        <w:t>I. INTRODUCTION</w:t>
      </w:r>
    </w:p>
    <w:p w14:paraId="08A51D2F">
      <w:pPr>
        <w:pStyle w:val="33"/>
        <w:keepNext w:val="0"/>
        <w:keepLines w:val="0"/>
        <w:widowControl/>
        <w:suppressLineNumbers w:val="0"/>
        <w:spacing w:line="360" w:lineRule="auto"/>
        <w:jc w:val="both"/>
      </w:pPr>
      <w:r>
        <w:t xml:space="preserve">A prescription is the primary written link between a doctor's clinical decision and the medicine a patient receives. In many hospitals and clinics, particularly in India and other developing regions, prescriptions are still written by hand, often quickly and in highly individual cursive styles. Poorly legible prescriptions force pharmacists to interpret ambiguous letter shapes, and confusing one medicine name with another can lead to dispensing errors with serious consequences for patient safety. Digitizing prescriptions would also support electronic health records, pharmacy inventory systems, and medication-adherence tools. Optical Character Recognition (OCR) is the technology used to convert images of text into machine-readable characters. Conventional OCR engines such as Tesseract perform well on printed documents but are not designed for the variable stroke widths, joined characters, and inconsistent spacing found in handwriting. Deep Learning, and Convolutional Neural Networks (CNNs) in particular, offers an alternative: instead of segmenting and reading individual characters, a CNN can learn to recognize an entire handwritten word image as one of a known set of classes. This project explores both directions on a dataset of handwritten medicine-name images covering 78 medicines. It builds an OCR pipeline with text-region detection, Tesseract recognition, fuzzy matching against a medicine vocabulary, and rule-based extraction of dosage and frequency, and it trains and compares three CNN classifiers: ResNet-50, DenseNet-121, and a compact ElasticNet-regularized CNN. The project provides practical experience in image preprocessing, transfer learning, model evaluation, and the careful interpretation of results. Its scope is limited to recognizing medicine names from a closed vocabulary and extracting simple entities; it does not interpret complete prescriptions, verify dosages, or replace a pharmacist's judgment. The report covers the literature survey, problem statement, significance, objectives, methodology, software requirements, system architecture, data flow, model design, conclusion, limitations, and future enhancements.</w:t>
      </w:r>
    </w:p>
    <w:p w14:paraId="1C958A47">
      <w:r>
        <w:br w:type="page"/>
      </w:r>
    </w:p>
    <w:p w14:paraId="421F96E3">
      <w:pPr>
        <w:spacing w:after="80"/>
        <w:jc w:val="center"/>
      </w:pPr>
      <w:r>
        <w:rPr>
          <w:rFonts w:ascii="Times New Roman" w:hAnsi="Times New Roman"/>
          <w:b/>
          <w:color w:val="1F1F70"/>
          <w:sz w:val="30"/>
        </w:rPr>
        <w:t>II. LITERATURE SURVEY</w:t>
      </w:r>
    </w:p>
    <w:p w14:paraId="64271FEB">
      <w:pPr>
        <w:jc w:val="both"/>
      </w:pPr>
      <w:r>
        <w:t xml:space="preserve">Research in handwritten text recognition has progressed from rule-based character segmentation and handcrafted features toward deep-learning models that learn representations directly from image data. Medical prescriptions add further difficulty because they combine cursive handwriting, domain-specific vocabulary, abbreviations, and noisy scanned or photographed images. The following studies provide the technical foundations for this project. Their results should be described in the context of each paper's own dataset and experimental setup rather than treated as a guarantee of performance for this project.</w:t>
      </w:r>
    </w:p>
    <w:p w14:paraId="46134766">
      <w:pPr>
        <w:pStyle w:val="3"/>
        <w:keepNext/>
        <w:rPr>
          <w:rFonts w:hint="default" w:ascii="Times New Roman" w:hAnsi="Times New Roman" w:cs="Times New Roman"/>
        </w:rPr>
      </w:pPr>
      <w:r>
        <w:rPr>
          <w:rFonts w:hint="default" w:ascii="Times New Roman" w:hAnsi="Times New Roman" w:cs="Times New Roman"/>
        </w:rPr>
        <w:t>Survey of Relevant Research</w:t>
      </w:r>
    </w:p>
    <w:p w14:paraId="0638EBD3">
      <w:pPr>
        <w:jc w:val="both"/>
      </w:pPr>
      <w:r>
        <w:t xml:space="preserve">1. Plamondon and Srihari (2000), “On-Line and Off-Line Handwriting Recognition: A Comprehensive Survey.” This widely cited survey reviews the field of handwriting recognition and distinguishes on-line recognition, where pen trajectories are captured while the user writes, from off-line recognition, where only a static image of the writing is available. It describes the main stages of off-line systems, namely preprocessing, segmentation, feature extraction, and classification, and explains why cursive script is difficult to segment into individual characters. The survey also discusses holistic approaches that recognize whole words within a limited lexicon instead of reading letter by letter. This is directly relevant to the present project, which works with off-line images of prescriptions and, in its CNN approach, follows a holistic strategy by classifying each word image as one of 78 known medicine names.</w:t>
      </w:r>
    </w:p>
    <w:p w14:paraId="7D875957">
      <w:pPr>
        <w:jc w:val="both"/>
      </w:pPr>
      <w:r>
        <w:t xml:space="preserve">2. Smith (2007), “An Overview of the Tesseract OCR Engine.” This paper describes the architecture of Tesseract, an open-source OCR engine originally developed at Hewlett-Packard and later maintained by Google. It explains the engine's processing stages, including connected-component analysis, text-line and word finding, and adaptive character classification. Later versions added an LSTM-based recognizer, which this project uses through Tesseract's default engine mode (--oem 3). Tesseract was designed and tuned mainly for machine-printed text. The paper is relevant because Tesseract forms the recognition stage of the project's OCR baseline, and its design assumptions help explain why the engine returns largely incorrect text when applied to cursive medical handwriting.</w:t>
      </w:r>
    </w:p>
    <w:p w14:paraId="1B001CF6">
      <w:pPr>
        <w:jc w:val="both"/>
      </w:pPr>
      <w:r>
        <w:t xml:space="preserve">3. Shi, Bai, and Yao (2017), “An End-to-End Trainable Neural Network for Image-Based Sequence Recognition and Its Application to Scene Text Recognition.” The authors propose the Convolutional Recurrent Neural Network (CRNN), which combines convolutional layers for visual feature extraction, recurrent layers that model the sequence of features across a word, and a Connectionist Temporal Classification (CTC) transcription layer. Because CTC aligns predictions with the target text automatically, the model does not require character-level segmentation and is not restricted to a fixed vocabulary. CRNN and its variants have become standard baselines for handwritten word and line recognition. For this project it represents a natural next step beyond whole-word classification, since it would allow unseen medicine names, dosages, and instructions to be transcribed.</w:t>
      </w:r>
    </w:p>
    <w:p w14:paraId="3F743930">
      <w:pPr>
        <w:jc w:val="both"/>
      </w:pPr>
      <w:r>
        <w:t xml:space="preserve">4. Li et al. (2023), “TrOCR: Transformer-Based Optical Character Recognition with Pre-trained Models.” TrOCR replaces convolutional and recurrent components with a Transformer encoder-decoder: a pretrained image Transformer encodes the text image, and a pretrained language-model decoder generates the output text token by token. The authors report strong results on printed, handwritten, and scene-text benchmarks, including the IAM handwriting database. Its relevance to this project is that it demonstrates the benefit of large-scale pretraining for handwriting recognition. Fine-tuning such a model on prescription images is identified as a promising direction for future work, as it would address the main weakness observed in the Tesseract baseline.</w:t>
      </w:r>
    </w:p>
    <w:p w14:paraId="618447A8">
      <w:pPr>
        <w:jc w:val="both"/>
      </w:pPr>
      <w:r>
        <w:t xml:space="preserve">5. He, Zhang, Ren, and Sun (2016), “Deep Residual Learning for Image Recognition.” This paper introduced Residual Networks (ResNets), which add identity shortcut connections so that layers learn residual functions rather than complete transformations. The shortcuts ease the optimization of very deep networks and allowed models with more than 100 layers to be trained successfully, winning the ILSVRC 2015 classification task. ResNet-50, a 50-layer variant built from bottleneck blocks, is widely used as a pretrained backbone for transfer learning. In this project an ImageNet-pretrained ResNet-50 is adapted to the 78-class medicine recognition task, and it was the best-performing model in the comparison.</w:t>
      </w:r>
    </w:p>
    <w:p w14:paraId="1132DEF7">
      <w:pPr>
        <w:jc w:val="both"/>
      </w:pPr>
      <w:r>
        <w:t xml:space="preserve">6. Huang, Liu, van der Maaten, and Weinberger (2017), “Densely Connected Convolutional Networks.” DenseNet connects each layer to every subsequent layer within a dense block, so that feature maps produced by earlier layers are reused directly by later ones. This encourages feature reuse, strengthens gradient flow, and achieves competitive accuracy with fewer parameters than comparable architectures. DenseNet-121 is a common pretrained backbone, particularly in medical imaging. It is included in this project as a second transfer-learning model so that the effect of architecture choice can be compared under the same data, preprocessing, and training budget.</w:t>
        <w:br w:type="page"/>
      </w:r>
    </w:p>
    <w:p w14:paraId="637F38E0">
      <w:pPr>
        <w:spacing w:after="80"/>
        <w:jc w:val="center"/>
      </w:pPr>
      <w:r>
        <w:rPr>
          <w:rFonts w:ascii="Times New Roman" w:hAnsi="Times New Roman"/>
          <w:b/>
          <w:color w:val="1F1F70"/>
          <w:sz w:val="30"/>
        </w:rPr>
        <w:t>III. PROBLEM STATEMENT</w:t>
      </w:r>
    </w:p>
    <w:p w14:paraId="1D72A3C8">
      <w:pPr>
        <w:pStyle w:val="33"/>
        <w:keepNext w:val="0"/>
        <w:keepLines w:val="0"/>
        <w:widowControl/>
        <w:suppressLineNumbers w:val="0"/>
        <w:spacing w:line="360" w:lineRule="auto"/>
        <w:jc w:val="both"/>
      </w:pPr>
      <w:r>
        <w:t xml:space="preserve">Handwritten prescriptions are difficult to read because every doctor writes differently, letters are frequently joined or abbreviated, and many medicine names differ from each other by only a few characters. Prescriptions are also captured under varying conditions, so images may contain uneven lighting, printed letterheads, stamps, and noise. Manual interpretation by pharmacists is time-consuming and error-prone when the writing is unclear. General-purpose OCR engines, which are trained largely on printed text, fail to capture the variability of handwritten strokes, and simple rule-based methods cannot cope with the diversity of writing styles.</w:t>
      </w:r>
    </w:p>
    <w:p w14:paraId="42190817">
      <w:pPr>
        <w:pStyle w:val="33"/>
        <w:keepNext w:val="0"/>
        <w:keepLines w:val="0"/>
        <w:widowControl/>
        <w:suppressLineNumbers w:val="0"/>
        <w:spacing w:line="360" w:lineRule="auto"/>
        <w:jc w:val="both"/>
      </w:pPr>
      <w:r>
        <w:t xml:space="preserve">The proposed solution investigates two AI-based approaches using a labelled dataset of handwritten medicine-name images. The first is an OCR pipeline that detects text regions, reads them with Tesseract, and maps the recognized text to the closest name in a known medicine vocabulary using fuzzy string matching, followed by rule-based extraction of dosage and frequency entities. The second formulates recognition as a 78-class image classification problem, in which a CNN learns a function that maps an input word image to a medicine label. Both approaches are evaluated on the same held-out test set so that their generalization ability can be compared fairly, and the OCR pipeline is additionally applied to unlabelled full prescription images to observe its behavior on realistic inputs.</w:t>
      </w:r>
    </w:p>
    <w:p w14:paraId="74870D08">
      <w:pPr>
        <w:pStyle w:val="33"/>
        <w:keepNext w:val="0"/>
        <w:keepLines w:val="0"/>
        <w:widowControl/>
        <w:suppressLineNumbers w:val="0"/>
        <w:spacing w:line="360" w:lineRule="auto"/>
        <w:jc w:val="both"/>
      </w:pPr>
      <w:r>
        <w:t xml:space="preserve">The main challenges include high variation in handwriting style, a large number of classes with only 40 training images per class, visually similar medicine names, the absence of labels for full prescription images, and the risk of misleading conclusions from small evaluation sets. Appropriate preprocessing, strict separation of training, validation, and test data, and multiple evaluation metrics are therefore essential for reliable performance assessment. The expected outcome is a working, reproducible prototype that recognizes medicine names, extracts basic prescription entities, and reports its performance using measured results. The system is intended for educational and research purposes and should support, rather than replace, the judgment of pharmacists and medical professionals.</w:t>
      </w:r>
    </w:p>
    <w:p w14:paraId="4D676810">
      <w:r>
        <w:br w:type="page"/>
      </w:r>
    </w:p>
    <w:p w14:paraId="54DAA476">
      <w:pPr>
        <w:spacing w:after="80"/>
        <w:jc w:val="center"/>
      </w:pPr>
      <w:r>
        <w:rPr>
          <w:rFonts w:ascii="Times New Roman" w:hAnsi="Times New Roman"/>
          <w:b/>
          <w:color w:val="1F1F70"/>
          <w:sz w:val="30"/>
        </w:rPr>
        <w:t>IV. SIGNIFICANCE &amp; RELEVANCE OF WORK</w:t>
      </w:r>
    </w:p>
    <w:p w14:paraId="512F1E6C">
      <w:pPr>
        <w:pStyle w:val="3"/>
        <w:keepNext/>
        <w:rPr>
          <w:rFonts w:hint="default" w:ascii="Times New Roman" w:hAnsi="Times New Roman" w:cs="Times New Roman"/>
        </w:rPr>
      </w:pPr>
      <w:r>
        <w:rPr>
          <w:rFonts w:hint="default" w:ascii="Times New Roman" w:hAnsi="Times New Roman" w:cs="Times New Roman"/>
        </w:rPr>
        <w:t xml:space="preserve">Healthcare and Social Relevance</w:t>
      </w:r>
    </w:p>
    <w:p w14:paraId="6DA9CE74">
      <w:pPr>
        <w:jc w:val="both"/>
      </w:pPr>
      <w:r>
        <w:t xml:space="preserve">Medication errors are a recognized cause of avoidable patient harm, and illegible handwriting is one of their contributing factors. A system that suggests the most likely medicine name from a handwritten prescription could act as a second reader for pharmacists, flag uncertain prescriptions for clarification, and support the gradual digitization of paper records in clinics that do not yet use electronic prescribing. Such a tool must be treated strictly as an aid: an incorrect suggestion presented with false confidence could itself cause harm, so the final decision must always remain with a qualified professional.</w:t>
      </w:r>
    </w:p>
    <w:p w14:paraId="54469270">
      <w:pPr>
        <w:pStyle w:val="3"/>
        <w:keepNext/>
        <w:rPr>
          <w:rFonts w:hint="default" w:ascii="Times New Roman" w:hAnsi="Times New Roman" w:cs="Times New Roman"/>
        </w:rPr>
      </w:pPr>
      <w:r>
        <w:rPr>
          <w:rFonts w:hint="default" w:ascii="Times New Roman" w:hAnsi="Times New Roman" w:cs="Times New Roman"/>
        </w:rPr>
        <w:t>Technical Significance</w:t>
      </w:r>
    </w:p>
    <w:p w14:paraId="458ABA54">
      <w:pPr>
        <w:jc w:val="both"/>
      </w:pPr>
      <w:r>
        <w:t xml:space="preserve">The project applies AI to a real-world document-analysis problem and combines several techniques in one workflow: image preprocessing, region-of-interest detection, OCR, fuzzy string matching, rule-based entity extraction, transfer learning, and multi-metric evaluation. Comparing a classical OCR pipeline with CNN classifiers on the same test data shows clearly where each approach succeeds and fails. The work also provides a practical setting for studying underfitting, overfitting, the difficulty of fine-grained classification with many classes, and the difference between ranking metrics such as ROC-AUC and threshold-based metrics such as accuracy and F1-score.</w:t>
      </w:r>
    </w:p>
    <w:p w14:paraId="2D340F2E">
      <w:pPr>
        <w:pStyle w:val="3"/>
        <w:keepNext/>
        <w:rPr>
          <w:rFonts w:hint="default" w:ascii="Times New Roman" w:hAnsi="Times New Roman" w:cs="Times New Roman"/>
        </w:rPr>
      </w:pPr>
      <w:r>
        <w:rPr>
          <w:rFonts w:hint="default" w:ascii="Times New Roman" w:hAnsi="Times New Roman" w:cs="Times New Roman"/>
        </w:rPr>
        <w:t>Academic Relevance</w:t>
      </w:r>
    </w:p>
    <w:p w14:paraId="7D94F113">
      <w:pPr>
        <w:jc w:val="both"/>
      </w:pPr>
      <w:r>
        <w:t xml:space="preserve">For students, the work connects theoretical concepts from computer vision, text processing, and deep learning with an applied problem. It provides experience with Python-based tools including OpenCV, Tesseract, RapidFuzz, scikit-learn, and PyTorch, as well as GPU-based training on the Kaggle platform. It also supports discussion of reproducible experimentation, honest reporting of weak results, dataset bias, privacy of medical documents, and the difference between a laboratory prototype and a validated clinical system.</w:t>
      </w:r>
    </w:p>
    <w:p w14:paraId="193D437D">
      <w:pPr>
        <w:pStyle w:val="3"/>
        <w:keepNext/>
        <w:rPr>
          <w:rFonts w:hint="default" w:ascii="Times New Roman" w:hAnsi="Times New Roman" w:cs="Times New Roman"/>
        </w:rPr>
      </w:pPr>
      <w:r>
        <w:rPr>
          <w:rFonts w:hint="default" w:ascii="Times New Roman" w:hAnsi="Times New Roman" w:cs="Times New Roman"/>
        </w:rPr>
        <w:t>Practical Benefits</w:t>
      </w:r>
    </w:p>
    <w:p w14:paraId="624CD839">
      <w:pPr>
        <w:jc w:val="both"/>
      </w:pPr>
      <w:r>
        <w:t xml:space="preserve">Potential benefits include rapid suggestion of candidate medicine names, consistent processing of prescription images, structured JSON output that other software can consume, and a reusable benchmark for comparing future recognition models. The modular design allows the OCR engine or the classifier to be replaced without changing the rest of the pipeline. An interactive dashboard summarizes the datasets, metrics, and figures for review. Each added feature should communicate uncertainty, for example through match scores or class probabilities, rather than imply that the system is infallible.</w:t>
      </w:r>
    </w:p>
    <w:p w14:paraId="6F1944AE">
      <w:pPr>
        <w:pStyle w:val="3"/>
        <w:keepNext/>
        <w:rPr>
          <w:rFonts w:hint="default" w:ascii="Times New Roman" w:hAnsi="Times New Roman" w:cs="Times New Roman"/>
        </w:rPr>
      </w:pPr>
      <w:r>
        <w:rPr>
          <w:rFonts w:hint="default" w:ascii="Times New Roman" w:hAnsi="Times New Roman" w:cs="Times New Roman"/>
        </w:rPr>
        <w:t>Limitations and Responsible Use</w:t>
      </w:r>
    </w:p>
    <w:p w14:paraId="488F1E9C">
      <w:pPr>
        <w:jc w:val="both"/>
      </w:pPr>
      <w:r>
        <w:t xml:space="preserve">The usefulness of the system depends on the representativeness and quality of the dataset. The labelled data cover 78 medicine names, so a model trained on them may not generalize to other doctors, regions, languages, or medicines outside this vocabulary. The classification approach cannot recognize a medicine name it has not seen during training, and the full prescription images used for OCR testing are unlabelled, which limits how precisely that component can be evaluated. Prescription images contain personal health information and must be handled with appropriate privacy safeguards. Any practical deployment would require far higher accuracy, external validation, and review by pharmacists and the relevant authorities.</w:t>
      </w:r>
    </w:p>
    <w:p w14:paraId="503DE750">
      <w:r>
        <w:br w:type="page"/>
      </w:r>
    </w:p>
    <w:p w14:paraId="70BEF3FB">
      <w:pPr>
        <w:spacing w:after="80"/>
        <w:jc w:val="center"/>
      </w:pPr>
      <w:r>
        <w:rPr>
          <w:rFonts w:ascii="Times New Roman" w:hAnsi="Times New Roman"/>
          <w:b/>
          <w:color w:val="1F1F70"/>
          <w:sz w:val="30"/>
        </w:rPr>
        <w:t>V. OBJECTIVES AND METHODOLOGY</w:t>
      </w:r>
    </w:p>
    <w:p w14:paraId="3FCFDCA1">
      <w:pPr>
        <w:pStyle w:val="3"/>
        <w:keepNext/>
        <w:rPr>
          <w:rFonts w:hint="default" w:ascii="Times New Roman" w:hAnsi="Times New Roman" w:cs="Times New Roman"/>
        </w:rPr>
      </w:pPr>
      <w:r>
        <w:rPr>
          <w:rFonts w:hint="default" w:ascii="Times New Roman" w:hAnsi="Times New Roman" w:cs="Times New Roman"/>
        </w:rPr>
        <w:t>Objectives</w:t>
      </w:r>
    </w:p>
    <w:p w14:paraId="1A1F82FF">
      <w:pPr>
        <w:pStyle w:val="23"/>
      </w:pPr>
      <w:r>
        <w:t xml:space="preserve">To study OCR and deep learning for recognizing handwritten medicine names.</w:t>
      </w:r>
    </w:p>
    <w:p w14:paraId="7083A0EE">
      <w:pPr>
        <w:pStyle w:val="23"/>
      </w:pPr>
      <w:r>
        <w:t xml:space="preserve">To load and validate both datasets and the medicine-name class mapping.</w:t>
      </w:r>
    </w:p>
    <w:p w14:paraId="1D1AA648">
      <w:pPr>
        <w:pStyle w:val="23"/>
      </w:pPr>
      <w:r>
        <w:t xml:space="preserve">To build an OCR pipeline using OpenCV preprocessing and the Tesseract engine.</w:t>
      </w:r>
    </w:p>
    <w:p w14:paraId="252119FD">
      <w:pPr>
        <w:pStyle w:val="23"/>
      </w:pPr>
      <w:r>
        <w:t xml:space="preserve">To match OCR text to known medicine names and extract dosage and frequency entities.</w:t>
      </w:r>
    </w:p>
    <w:p w14:paraId="2DE164CD">
      <w:pPr>
        <w:pStyle w:val="23"/>
      </w:pPr>
      <w:r>
        <w:t xml:space="preserve">To train and compare ResNet-50, DenseNet-121, and an ElasticNet-regularized CNN.</w:t>
      </w:r>
    </w:p>
    <w:p w14:paraId="4C077FE1">
      <w:pPr>
        <w:pStyle w:val="23"/>
      </w:pPr>
      <w:r>
        <w:t xml:space="preserve">To predict the medicine name of an input image using the same preprocessing pipeline.</w:t>
      </w:r>
    </w:p>
    <w:p w14:paraId="5568400F">
      <w:pPr>
        <w:pStyle w:val="23"/>
      </w:pPr>
      <w:r>
        <w:t xml:space="preserve">To evaluate all approaches using accuracy, F1-score, ROC-AUC, and a confusion matrix.</w:t>
      </w:r>
    </w:p>
    <w:p w14:paraId="75C49D30">
      <w:pPr>
        <w:pStyle w:val="23"/>
      </w:pPr>
      <w:r>
        <w:t xml:space="preserve">To document results, limitations, ethical considerations, and possible improvements.</w:t>
      </w:r>
    </w:p>
    <w:p w14:paraId="65B9C4E2">
      <w:pPr>
        <w:pStyle w:val="3"/>
        <w:keepNext/>
        <w:rPr>
          <w:rFonts w:hint="default" w:ascii="Times New Roman" w:hAnsi="Times New Roman" w:cs="Times New Roman"/>
        </w:rPr>
      </w:pPr>
      <w:r>
        <w:rPr>
          <w:rFonts w:hint="default" w:ascii="Times New Roman" w:hAnsi="Times New Roman" w:cs="Times New Roman"/>
        </w:rPr>
        <w:t>Overall Methodology</w:t>
      </w:r>
    </w:p>
    <w:p w14:paraId="6EB0EC0A">
      <w:pPr>
        <w:jc w:val="both"/>
      </w:pPr>
      <w:r>
        <w:t xml:space="preserve">Step 1 - Dataset collection: Two Kaggle datasets are used. Dataset A is a processed collection of handwritten medicine-name images with 78 classes, pre-split into 3,120 training, 780 validation, and 780 test images (40, 10, and 10 per class). Each split has a CSV file that pairs an image file name with a numeric label, and a mapping.json file maps each medicine name to its label. Dataset B contains 129 full handwritten prescription images without labels. Both datasets are located automatically under the Kaggle input directory.</w:t>
      </w:r>
    </w:p>
    <w:p w14:paraId="1B7D6714">
      <w:pPr>
        <w:jc w:val="both"/>
      </w:pPr>
      <w:r>
        <w:t xml:space="preserve">Step 2 - Data inspection: The class distribution of each split is plotted, random labelled samples are displayed with their decoded medicine names, and the widths and heights of 300 sampled training images are summarized in histograms. The images are checked for readability, and no unreadable files were found in the inspected sample. The classes are balanced, so accuracy is not biased toward a dominant class.</w:t>
      </w:r>
    </w:p>
    <w:p w14:paraId="705656F6">
      <w:pPr>
        <w:jc w:val="both"/>
      </w:pPr>
      <w:r>
        <w:t xml:space="preserve">Step 3 - Preprocessing: For OCR, each image is converted to grayscale and smoothed with a bilateral filter that reduces noise while preserving stroke edges. In full prescriptions, text regions are found by adaptive Gaussian thresholding, dilation with a 25 × 7 rectangular kernel that merges characters into blocks, and external contour detection; very small boxes and boxes covering the whole page are discarded, and the 12 largest regions are kept. Small crops are enlarged two times with bicubic interpolation before recognition. For the CNNs, images are resized to 224 × 224 pixels, converted to tensors, and normalized with ImageNet channel statistics. Training images are additionally augmented with random rotations of up to 8 degrees, random horizontal flips, and mild brightness and contrast jitter, while validation and test images are not augmented.</w:t>
      </w:r>
    </w:p>
    <w:p w14:paraId="36CC77AC">
      <w:pPr>
        <w:jc w:val="both"/>
      </w:pPr>
      <w:r>
        <w:t xml:space="preserve">Step 4 - Dataset splitting: The predefined training, validation, and test splits of Dataset A are used without modification, which keeps the test set completely separate from training and model selection. The validation set is used only to select the best checkpoint for each model. Dataset B has no labels and is therefore used only for hit-rate and qualitative analysis of the OCR pipeline.</w:t>
      </w:r>
    </w:p>
    <w:p w14:paraId="111527C0">
      <w:pPr>
        <w:jc w:val="both"/>
      </w:pPr>
      <w:r>
        <w:t xml:space="preserve">Step 5 - Model training: The OCR approach requires no training: Tesseract runs in its default engine mode (--oem 3) and treats each image as a single uniform block of text (--psm 6), and the recognized text is normalized and matched against the 78-name vocabulary with the RapidFuzz token-set ratio, accepting matches that score at least 75. For the CNN approach, ResNet-50 and DenseNet-121 are initialized with ImageNet-pretrained weights, their final layer is replaced with dropout and a new 78-way linear layer, and the backbone is frozen so that only the new head is trained. A compact four-block CNN is trained from scratch with an ElasticNet penalty that adds small L1 and L2 terms to the loss. All networks use the AdamW optimizer, cross-entropy loss, a batch size of 32, mixed-precision training, and three epochs, and the checkpoint with the highest validation ROC-AUC is saved for each model.</w:t>
      </w:r>
    </w:p>
    <w:p w14:paraId="3A210200">
      <w:pPr>
        <w:jc w:val="both"/>
      </w:pPr>
      <w:r>
        <w:t xml:space="preserve">Step 6 - Prediction: In the OCR approach, the best fuzzy match is returned as the predicted medicine, or no prediction is made if the match score is below the threshold. A rule-based extractor then tags DRUG, DOSAGE, and FREQUENCY entities in the recognized text using the medicine vocabulary and regular expressions for units such as mg and ml and terms such as OD, BD, and TID, and the results for each prescription are saved as JSON. In the CNN approach, the saved checkpoint is loaded, the image receives the same evaluation preprocessing, and the class with the highest softmax probability is mapped back to its medicine name. These probabilities are model scores and are not calibrated measures of certainty.</w:t>
      </w:r>
    </w:p>
    <w:p w14:paraId="0FEA43A7">
      <w:pPr>
        <w:jc w:val="both"/>
      </w:pPr>
      <w:r>
        <w:t xml:space="preserve">Step 7 - Evaluation: On the 780-image test set, the OCR-and-match pipeline achieved 3.1% accuracy, compared with a random-guess level of 1.3%. On the 60 Dataset B prescriptions processed, a medicine from the vocabulary was found in 5% of the images. Among the CNNs, ResNet-50 performed best with a test macro ROC-AUC of 0.72, macro F1-score of 0.06, and accuracy of 8%, followed by DenseNet-121 (ROC-AUC 0.65, accuracy 5%) and the ElasticNet CNN (ROC-AUC 0.56, accuracy 2%). Class-wise precision and recall, confusion matrices, and training curves were inspected to understand these results.</w:t>
      </w:r>
    </w:p>
    <w:p w14:paraId="041EE3A0">
      <w:pPr>
        <w:jc w:val="both"/>
      </w:pPr>
      <w:r>
        <w:t xml:space="preserve">Step 8 - Documentation: Random seeds are fixed at 42 for Python, NumPy, and PyTorch. Training histories, the model comparison table, the OCR comparison table, the Dataset B JSON output, and a text-region visualization are saved as files, and a dashboard is generated from the executed notebook so that every reported number can be traced to its source.</w:t>
      </w:r>
    </w:p>
    <w:p w14:paraId="271017EB">
      <w:pPr>
        <w:pStyle w:val="3"/>
        <w:keepNext/>
        <w:rPr>
          <w:rFonts w:hint="default" w:ascii="Times New Roman" w:hAnsi="Times New Roman" w:cs="Times New Roman"/>
        </w:rPr>
      </w:pPr>
      <w:r>
        <w:rPr>
          <w:rFonts w:hint="default" w:ascii="Times New Roman" w:hAnsi="Times New Roman" w:cs="Times New Roman"/>
        </w:rPr>
        <w:t>Evaluation Measures</w:t>
      </w:r>
    </w:p>
    <w:p w14:paraId="4CEF5D51">
      <w:pPr>
        <w:jc w:val="both"/>
      </w:pPr>
      <w:r>
        <w:t xml:space="preserve">Accuracy is the proportion of all predictions that are correct. Precision measures the proportion of predictions for a class that are correct, and recall measures the proportion of actual examples of a class that the model identifies correctly. The F1-score is the harmonic mean of precision and recall, and the macro F1-score averages it equally across all 78 classes. ROC-AUC measures how well the predicted probabilities rank the correct class above the others; it is computed one-versus-rest for each class and macro-averaged, where 0.5 corresponds to random ranking and 1.0 to perfect ranking. A confusion matrix shows how examples from each actual class are distributed across predicted classes. For the unlabelled Dataset B, the hit rate, which is the proportion of prescriptions in which any vocabulary medicine is matched, indicates coverage rather than correctness. Because each test class has only 10 images, all metrics carry considerable sampling uncertainty and should be interpreted together rather than individually.</w:t>
      </w:r>
    </w:p>
    <w:p w14:paraId="5DB733BA">
      <w:pPr>
        <w:pStyle w:val="3"/>
        <w:keepNext/>
        <w:rPr>
          <w:rFonts w:hint="default" w:ascii="Times New Roman" w:hAnsi="Times New Roman" w:cs="Times New Roman"/>
        </w:rPr>
      </w:pPr>
      <w:r>
        <w:rPr>
          <w:rFonts w:hint="default" w:ascii="Times New Roman" w:hAnsi="Times New Roman" w:cs="Times New Roman"/>
        </w:rPr>
        <w:t>Methodology Flow</w:t>
      </w:r>
    </w:p>
    <w:p w14:paraId="6E9DF8FB">
      <w:pPr>
        <w:jc w:val="both"/>
      </w:pPr>
      <w:r>
        <w:t xml:space="preserve">Prescription images → dataset discovery and validation → preprocessing → OCR path (text-region detection → Tesseract OCR → fuzzy matching → entity extraction) and CNN path (augmentation → transfer learning or training from scratch → checkpoint selection) → test-set evaluation → comparison tables, JSON output, and dashboard.</w:t>
        <w:br w:type="page"/>
      </w:r>
    </w:p>
    <w:p w14:paraId="30407FFA">
      <w:pPr>
        <w:spacing w:after="80"/>
        <w:jc w:val="center"/>
      </w:pPr>
      <w:r>
        <w:rPr>
          <w:rFonts w:ascii="Times New Roman" w:hAnsi="Times New Roman"/>
          <w:b/>
          <w:color w:val="1F1F70"/>
          <w:sz w:val="30"/>
        </w:rPr>
        <w:t>VI. SOFTWARE REQUIREMENTS SPECIFICATION (SRS)</w:t>
      </w:r>
    </w:p>
    <w:p w14:paraId="34235DA0">
      <w:pPr>
        <w:pStyle w:val="3"/>
        <w:keepNext/>
        <w:rPr>
          <w:rFonts w:hint="default" w:ascii="Times New Roman" w:hAnsi="Times New Roman" w:cs="Times New Roman"/>
        </w:rPr>
      </w:pPr>
      <w:r>
        <w:rPr>
          <w:rFonts w:hint="default" w:ascii="Times New Roman" w:hAnsi="Times New Roman" w:cs="Times New Roman"/>
        </w:rPr>
        <w:t>Purpose</w:t>
      </w:r>
    </w:p>
    <w:p w14:paraId="7E65B766">
      <w:pPr>
        <w:jc w:val="both"/>
      </w:pPr>
      <w:r>
        <w:t xml:space="preserve">This Software Requirements Specification defines the expected behavior and constraints of the Handwritten Prescription Recognition prototype. It describes the system's intended users, input data, processing requirements, outputs, and quality expectations. The SRS is intended to guide implementation and testing and to clarify that the prototype is an educational recognition system rather than a certified pharmacy or clinical product.</w:t>
      </w:r>
    </w:p>
    <w:p w14:paraId="180444C4">
      <w:pPr>
        <w:pStyle w:val="3"/>
        <w:keepNext/>
        <w:rPr>
          <w:rFonts w:hint="default" w:ascii="Times New Roman" w:hAnsi="Times New Roman" w:cs="Times New Roman"/>
        </w:rPr>
      </w:pPr>
      <w:r>
        <w:rPr>
          <w:rFonts w:hint="default" w:ascii="Times New Roman" w:hAnsi="Times New Roman" w:cs="Times New Roman"/>
        </w:rPr>
        <w:t>Scope</w:t>
      </w:r>
    </w:p>
    <w:p w14:paraId="49C1754F">
      <w:pPr>
        <w:jc w:val="both"/>
      </w:pPr>
      <w:r>
        <w:t xml:space="preserve">The software receives images of handwritten medicine names or full prescriptions in JPEG or PNG format. It recognizes text with an OCR pipeline and matches it to a known medicine vocabulary, extracts dosage and frequency entities, and classifies word images into one of 78 medicine classes using trained CNN models. It produces predicted labels, match scores, class probabilities, evaluation metrics, saved models, JSON and CSV outputs, and a results dashboard. It does not recognize medicines outside its vocabulary in classification mode, verify that a prescription is appropriate, connect to pharmacy or hospital systems, or replace the judgment of a pharmacist or doctor.</w:t>
      </w:r>
    </w:p>
    <w:p w14:paraId="71C2EB1E">
      <w:pPr>
        <w:pStyle w:val="3"/>
        <w:keepNext/>
        <w:rPr>
          <w:rFonts w:hint="default" w:ascii="Times New Roman" w:hAnsi="Times New Roman" w:cs="Times New Roman"/>
        </w:rPr>
      </w:pPr>
      <w:r>
        <w:rPr>
          <w:rFonts w:hint="default" w:ascii="Times New Roman" w:hAnsi="Times New Roman" w:cs="Times New Roman"/>
        </w:rPr>
        <w:t>User Classes</w:t>
      </w:r>
    </w:p>
    <w:p w14:paraId="7CA1B257">
      <w:pPr>
        <w:jc w:val="both"/>
      </w:pPr>
      <w:r>
        <w:t xml:space="preserve">Student/developer: prepares data, runs experiments, trains and compares models, and evaluates performance. Researcher or evaluator: reviews the methodology, results, dashboard, and limitations. Demonstration user: supplies a permitted prescription or word image and views the recognized medicine and extracted entities. A pharmacist or clinical user, if considered in future work, would require a substantially more accurate and rigorously validated system with appropriate governance.</w:t>
      </w:r>
    </w:p>
    <w:p w14:paraId="027D8771">
      <w:pPr>
        <w:pStyle w:val="3"/>
        <w:keepNext/>
        <w:rPr>
          <w:rFonts w:hint="default" w:ascii="Times New Roman" w:hAnsi="Times New Roman" w:cs="Times New Roman"/>
        </w:rPr>
      </w:pPr>
      <w:r>
        <w:rPr>
          <w:rFonts w:hint="default" w:ascii="Times New Roman" w:hAnsi="Times New Roman" w:cs="Times New Roman"/>
        </w:rPr>
        <w:t>Functional Requirements</w:t>
      </w:r>
    </w:p>
    <w:p w14:paraId="2315A43B">
      <w:pPr>
        <w:pStyle w:val="23"/>
      </w:pPr>
      <w:r>
        <w:t xml:space="preserve">FR1 - Dataset discovery: The system shall locate the labelled dataset (label files and mapping.json) and the unlabelled prescription images automatically, and report a clear error if they are missing.</w:t>
      </w:r>
    </w:p>
    <w:p w14:paraId="2BFF2D4A">
      <w:pPr>
        <w:pStyle w:val="23"/>
      </w:pPr>
      <w:r>
        <w:t xml:space="preserve">FR2 - Input validation: The system shall detect unreadable or unsupported image files and report them rather than silently producing a prediction.</w:t>
      </w:r>
    </w:p>
    <w:p w14:paraId="37F7B7FC">
      <w:pPr>
        <w:pStyle w:val="23"/>
      </w:pPr>
      <w:r>
        <w:t xml:space="preserve">FR3 - Preprocessing: The system shall convert input images to denoised grayscale for OCR, and to resized and normalized 224 × 224 RGB tensors for the CNN models.</w:t>
      </w:r>
    </w:p>
    <w:p w14:paraId="01CD34AC">
      <w:pPr>
        <w:pStyle w:val="23"/>
      </w:pPr>
      <w:r>
        <w:t xml:space="preserve">FR4 - Text-region detection: The system shall detect candidate text regions in full prescription images and allow them to be visualized as bounding boxes.</w:t>
      </w:r>
    </w:p>
    <w:p w14:paraId="57879ACC">
      <w:pPr>
        <w:pStyle w:val="23"/>
      </w:pPr>
      <w:r>
        <w:t xml:space="preserve">FR5 - OCR and matching: The system shall recognize text with Tesseract and return the closest vocabulary medicine name with its match score, or no match below the configured threshold.</w:t>
      </w:r>
    </w:p>
    <w:p w14:paraId="17E0EF2B">
      <w:pPr>
        <w:pStyle w:val="23"/>
      </w:pPr>
      <w:r>
        <w:t xml:space="preserve">FR6 - Entity extraction: The system shall extract DRUG, DOSAGE, and FREQUENCY entities from recognized text and save them in JSON format.</w:t>
      </w:r>
    </w:p>
    <w:p w14:paraId="213CEC62">
      <w:pPr>
        <w:pStyle w:val="23"/>
      </w:pPr>
      <w:r>
        <w:t xml:space="preserve">FR7 - Model training and selection: The system shall train the configured CNN models and save the checkpoint with the best validation ROC-AUC for each model.</w:t>
      </w:r>
    </w:p>
    <w:p w14:paraId="4C93BFE8">
      <w:pPr>
        <w:pStyle w:val="23"/>
      </w:pPr>
      <w:r>
        <w:t xml:space="preserve">FR8 - Class mapping: The system shall map a CNN output to the correct medicine name using the same label mapping used during training.</w:t>
      </w:r>
    </w:p>
    <w:p w14:paraId="579BE5A3">
      <w:pPr>
        <w:pStyle w:val="23"/>
      </w:pPr>
      <w:r>
        <w:t xml:space="preserve">FR9 - Evaluation and reporting: The system shall compute accuracy, macro F1-score, macro ROC-AUC, classification reports, and confusion matrices on held-out data, and save comparison tables and figures.</w:t>
      </w:r>
    </w:p>
    <w:p w14:paraId="37623AE0">
      <w:pPr>
        <w:pStyle w:val="23"/>
      </w:pPr>
      <w:r>
        <w:t xml:space="preserve">FR10 - Safe interpretation: The outputs and report shall state that predictions are experimental and must be confirmed by a qualified person.</w:t>
      </w:r>
    </w:p>
    <w:p w14:paraId="1B4385D2">
      <w:pPr>
        <w:pStyle w:val="3"/>
        <w:keepNext/>
        <w:rPr>
          <w:rFonts w:hint="default" w:ascii="Times New Roman" w:hAnsi="Times New Roman" w:cs="Times New Roman"/>
        </w:rPr>
      </w:pPr>
      <w:r>
        <w:rPr>
          <w:rFonts w:hint="default" w:ascii="Times New Roman" w:hAnsi="Times New Roman" w:cs="Times New Roman"/>
        </w:rPr>
        <w:t>Non-Functional Requirements</w:t>
      </w:r>
    </w:p>
    <w:p w14:paraId="73654BD8">
      <w:pPr>
        <w:jc w:val="both"/>
      </w:pPr>
      <w:r>
        <w:t xml:space="preserve">Usability: Notebook sections, outputs, and the dashboard should be understandable to a user with basic computer knowledge. Performance: Processing should complete within a reasonable time on the target hardware; in the recorded run, OCR evaluation of 780 images took about 90 seconds, and each CNN training epoch took roughly 19 to 37 seconds on a single GPU.Reliability: The same input, model version, and random seed should produce consistent output. Maintainability: Code is organized into clear blocks for setup, data loading, OCR, matching, training, evaluation, and reporting. Portability: The notebook installs its own OCR and matching dependencies and falls back to random initialization if pretrained weights cannot be downloaded. Security and privacy: Prescription images contain personal health information and should not be shared or uploaded to public services without proper authorization. Reproducibility: Random seeds, dataset versions, preprocessing settings, and hyperparameters are recorded.</w:t>
      </w:r>
    </w:p>
    <w:p w14:paraId="220F9FDA">
      <w:pPr>
        <w:pStyle w:val="3"/>
        <w:keepNext/>
        <w:rPr>
          <w:rFonts w:hint="default" w:ascii="Times New Roman" w:hAnsi="Times New Roman" w:cs="Times New Roman"/>
        </w:rPr>
      </w:pPr>
      <w:r>
        <w:rPr>
          <w:rFonts w:hint="default" w:ascii="Times New Roman" w:hAnsi="Times New Roman" w:cs="Times New Roman"/>
        </w:rPr>
        <w:t>Hardware Requirements</w:t>
      </w:r>
    </w:p>
    <w:p w14:paraId="7B923AD7">
      <w:pPr>
        <w:jc w:val="both"/>
      </w:pPr>
      <w:r>
        <w:t xml:space="preserve">The project was developed and executed in a Kaggle notebook with an NVIDIA Tesla T4 GPU. A GPU substantially reduces CNN training time and enables mixed-precision computation, although the OCR pipeline and model inference can also run on a standard CPU. A computer with 8 GB or more of RAM and enough storage for the datasets, the pretrained weights (about 130 MB), and the saved checkpoints is sufficient to reproduce the experiments.</w:t>
      </w:r>
    </w:p>
    <w:p w14:paraId="542ACC91">
      <w:pPr>
        <w:pStyle w:val="3"/>
        <w:keepNext/>
        <w:rPr>
          <w:rFonts w:hint="default" w:ascii="Times New Roman" w:hAnsi="Times New Roman" w:cs="Times New Roman"/>
        </w:rPr>
      </w:pPr>
      <w:r>
        <w:rPr>
          <w:rFonts w:hint="default" w:ascii="Times New Roman" w:hAnsi="Times New Roman" w:cs="Times New Roman"/>
        </w:rPr>
        <w:t>Software Requirements</w:t>
      </w:r>
    </w:p>
    <w:p w14:paraId="72CB6FED">
      <w:pPr>
        <w:jc w:val="both"/>
      </w:pPr>
      <w:r>
        <w:t xml:space="preserve">The software environment consists of Python 3.12 in a Jupyter notebook on Kaggle, together with the Tesseract OCR engine. The main libraries are NumPy and pandas for data handling, Matplotlib for plots, OpenCV and Pillow for image processing, pytesseract as the interface to Tesseract, RapidFuzz for fuzzy string matching, scikit-learn for evaluation metrics, and PyTorch with torchvision for the CNN models. The dashboard is a static HTML page generated from the executed notebook by a Python script and can be opened in any modern web browser.</w:t>
      </w:r>
    </w:p>
    <w:p w14:paraId="5DFC9388">
      <w:pPr>
        <w:pStyle w:val="3"/>
        <w:keepNext/>
        <w:rPr>
          <w:rFonts w:hint="default" w:ascii="Times New Roman" w:hAnsi="Times New Roman" w:cs="Times New Roman"/>
        </w:rPr>
      </w:pPr>
      <w:r>
        <w:rPr>
          <w:rFonts w:hint="default" w:ascii="Times New Roman" w:hAnsi="Times New Roman" w:cs="Times New Roman"/>
        </w:rPr>
        <w:t>Assumptions and Constraints</w:t>
      </w:r>
    </w:p>
    <w:p w14:paraId="2FF20406">
      <w:pPr>
        <w:jc w:val="both"/>
      </w:pPr>
      <w:r>
        <w:t xml:space="preserve">The system assumes that input images contain handwritten medicine names or prescriptions in a supported format and that the medicine vocabulary and label mapping are available. The classification models can only predict the 78 medicines seen during training. Performance is constrained by the small number of images per class, the quality of the OCR engine on handwriting, the short training budget of three epochs, the available hardware, and the similarity between training images and new prescriptions. The prototype must not be used to dispense medicines without independent verification by a qualified person.</w:t>
      </w:r>
    </w:p>
    <w:p w14:paraId="25D681E5">
      <w:pPr>
        <w:pStyle w:val="3"/>
        <w:keepNext/>
        <w:rPr>
          <w:rFonts w:hint="default" w:ascii="Times New Roman" w:hAnsi="Times New Roman" w:cs="Times New Roman"/>
        </w:rPr>
      </w:pPr>
      <w:r>
        <w:rPr>
          <w:rFonts w:hint="default" w:ascii="Times New Roman" w:hAnsi="Times New Roman" w:cs="Times New Roman"/>
        </w:rPr>
        <w:t>Acceptance Criteria</w:t>
      </w:r>
    </w:p>
    <w:p w14:paraId="418D1DEC">
      <w:pPr>
        <w:jc w:val="both"/>
      </w:pPr>
      <w:r>
        <w:t xml:space="preserve">The prototype can be considered functionally complete when it locates and validates both datasets, runs the OCR pipeline and produces matched names and JSON entity output, trains all three CNN models and saves their best checkpoints, predicts a medicine name for a valid image, handles missing or invalid inputs without crashing unexpectedly, and reports evaluation metrics on held-out data. The current prototype meets these functional criteria. Accuracy levels suitable for practical use have not yet been reached; the reported metrics are presented as measured baselines, and a particular accuracy threshold has not been invented simply to make the project appear successful.</w:t>
      </w:r>
    </w:p>
    <w:p w14:paraId="21F408C9">
      <w:r>
        <w:br w:type="page"/>
      </w:r>
    </w:p>
    <w:p w14:paraId="2E89CDF7">
      <w:pPr>
        <w:spacing w:after="80"/>
        <w:jc w:val="center"/>
      </w:pPr>
      <w:r>
        <w:rPr>
          <w:rFonts w:ascii="Times New Roman" w:hAnsi="Times New Roman"/>
          <w:b/>
          <w:color w:val="1F1F70"/>
          <w:sz w:val="30"/>
        </w:rPr>
        <w:t>VII. ANALYSIS &amp; DESIGN</w:t>
      </w:r>
    </w:p>
    <w:p w14:paraId="11734D0D">
      <w:pPr>
        <w:pStyle w:val="3"/>
        <w:keepNext/>
        <w:rPr>
          <w:rFonts w:hint="default" w:ascii="Times New Roman" w:hAnsi="Times New Roman" w:cs="Times New Roman"/>
        </w:rPr>
      </w:pPr>
      <w:r>
        <w:rPr>
          <w:rFonts w:hint="default" w:ascii="Times New Roman" w:hAnsi="Times New Roman" w:cs="Times New Roman"/>
        </w:rPr>
        <w:t>System Analysis</w:t>
      </w:r>
    </w:p>
    <w:p w14:paraId="5A082E13">
      <w:pPr>
        <w:jc w:val="both"/>
      </w:pPr>
      <w:r>
        <w:t xml:space="preserve">The system is organized as two parallel recognition paths that share common data-handling and evaluation stages. The input stage locates the datasets and reads images, labels, and the medicine vocabulary. The preprocessing stage prepares images in the form required by each path. The OCR path detects text regions, recognizes text, matches it to the vocabulary, and extracts entities, while the learning path trains CNN classifiers and selects the best checkpoints. The evaluation stage measures both paths on the same held-out test data, and the reporting stage saves tables, figures, and a dashboard. Separating these responsibilities makes each component easier to test, replace, and maintain.</w:t>
      </w:r>
    </w:p>
    <w:p w14:paraId="75C7FEEB">
      <w:pPr>
        <w:pStyle w:val="3"/>
        <w:keepNext/>
        <w:rPr>
          <w:rFonts w:hint="default" w:ascii="Times New Roman" w:hAnsi="Times New Roman" w:cs="Times New Roman"/>
        </w:rPr>
      </w:pPr>
      <w:r>
        <w:rPr>
          <w:rFonts w:hint="default" w:ascii="Times New Roman" w:hAnsi="Times New Roman" w:cs="Times New Roman"/>
        </w:rPr>
        <w:t>High-Level Architecture</w:t>
      </w:r>
    </w:p>
    <w:p w14:paraId="14B120AE">
      <w:pPr>
        <w:jc w:val="both"/>
      </w:pPr>
      <w:r>
        <w:t xml:space="preserve">Prescription or word image → dataset loader and validator → preprocessing → either the OCR path (text-region detector → Tesseract OCR → text normalizer → fuzzy matcher → entity extractor) or the CNN path (trained classifier → softmax probabilities) → predicted medicine name, scores, and entities → JSON and CSV output and dashboard. During development, a parallel evaluation path compares predictions on the test set with ground-truth labels and generates metrics and plots. The same label mapping and preprocessing settings are used consistently in training, evaluation, and prediction.</w:t>
      </w:r>
    </w:p>
    <w:p w14:paraId="0841C99D">
      <w:pPr>
        <w:pStyle w:val="3"/>
        <w:keepNext/>
        <w:rPr>
          <w:rFonts w:hint="default" w:ascii="Times New Roman" w:hAnsi="Times New Roman" w:cs="Times New Roman"/>
        </w:rPr>
      </w:pPr>
      <w:r>
        <w:rPr>
          <w:rFonts w:hint="default" w:ascii="Times New Roman" w:hAnsi="Times New Roman" w:cs="Times New Roman"/>
        </w:rPr>
        <w:t>Module Description</w:t>
      </w:r>
    </w:p>
    <w:p w14:paraId="1D753CFF">
      <w:pPr>
        <w:jc w:val="both"/>
      </w:pPr>
      <w:r>
        <w:t xml:space="preserve">Module 1: Dataset management. This module searches the Kaggle input directory for the labelled dataset and the prescription image folder, loads the training, validation, and test label files, and builds the mapping between medicine names and class indices. It verifies that image files exist and that class indices remain consistent throughout training and inference.</w:t>
      </w:r>
    </w:p>
    <w:p w14:paraId="442E10C4">
      <w:pPr>
        <w:jc w:val="both"/>
      </w:pPr>
      <w:r>
        <w:t xml:space="preserve">Module 2: Preprocessing and region detection. This module performs grayscale conversion, bilateral filtering, and upscaling for OCR, and resizing, augmentation, and normalization for the CNNs. For full prescriptions it applies adaptive thresholding, morphological dilation, and contour analysis to locate text blocks, and it can save an image with the detected regions drawn as boxes.</w:t>
      </w:r>
    </w:p>
    <w:p w14:paraId="7EFB6F2C">
      <w:pPr>
        <w:jc w:val="both"/>
      </w:pPr>
      <w:r>
        <w:t xml:space="preserve">Module 3: OCR, matching, and entity extraction. This module runs Tesseract on each image or region, normalizes the text, and finds the closest medicine name with the RapidFuzz token-set ratio, rejecting matches that score below 75. Regular expressions extract dosage values with units and frequency terms, and the results are stored as structured JSON records.</w:t>
      </w:r>
    </w:p>
    <w:p w14:paraId="140F1139">
      <w:pPr>
        <w:jc w:val="both"/>
      </w:pPr>
      <w:r>
        <w:t xml:space="preserve">Module 4: Model training. This module defines ResNet-50, DenseNet-121, and the compact CNN, replaces their classification heads for 78 classes, freezes pretrained backbones where configured, and trains with AdamW, cross-entropy loss, mixed precision, and an optional ElasticNet penalty. After every epoch it records training and validation loss, F1-score, and ROC-AUC, and it saves the checkpoint with the best validation ROC-AUC.</w:t>
      </w:r>
    </w:p>
    <w:p w14:paraId="0CB64C86">
      <w:pPr>
        <w:jc w:val="both"/>
      </w:pPr>
      <w:r>
        <w:t xml:space="preserve">Module 5: Evaluation. This module computes test accuracy, macro F1-score, macro ROC-AUC, class-wise classification reports, and confusion matrices for each model, as well as OCR-match accuracy and hit rate for the OCR path. It produces comparison tables that rank the approaches on the same test data.</w:t>
      </w:r>
    </w:p>
    <w:p w14:paraId="079B5CB5">
      <w:pPr>
        <w:jc w:val="both"/>
      </w:pPr>
      <w:r>
        <w:t xml:space="preserve">Module 6: Reporting and visualization. This module plots class distributions, sample images, image-size histograms, OCR text-length and match-score histograms, learning curves, and confusion matrices. A separate script extracts these figures and metrics from the executed notebook into an interactive HTML dashboard with headline results, a model comparison, per-class detail, and key findings.</w:t>
      </w:r>
    </w:p>
    <w:p w14:paraId="204D3CCB">
      <w:pPr>
        <w:pStyle w:val="3"/>
        <w:keepNext/>
        <w:rPr>
          <w:rFonts w:hint="default" w:ascii="Times New Roman" w:hAnsi="Times New Roman" w:cs="Times New Roman"/>
        </w:rPr>
      </w:pPr>
      <w:r>
        <w:rPr>
          <w:rFonts w:hint="default" w:ascii="Times New Roman" w:hAnsi="Times New Roman" w:cs="Times New Roman"/>
        </w:rPr>
        <w:t>Data Flow</w:t>
      </w:r>
    </w:p>
    <w:p w14:paraId="16C3F676">
      <w:pPr>
        <w:jc w:val="both"/>
      </w:pPr>
      <w:r>
        <w:t xml:space="preserve">During development, the label files and images of Dataset A are read and validated, and the predefined splits are wrapped in data loaders that apply the appropriate transforms. The CNNs learn from the training split and are monitored on the validation split after each epoch, and the best checkpoint is then evaluated once on the test split. In the OCR path, each test image is read, preprocessed, recognized, and matched, and the predicted names are compared with the ground-truth labels. Dataset B prescriptions follow the region-detection path, and their recognized text is passed to the entity extractor. During inference, a single new image follows the same preprocessing path and is passed either to the OCR pipeline or to a saved model, and the predicted index or matched string is converted to a medicine name.</w:t>
      </w:r>
    </w:p>
    <w:p w14:paraId="305D6842">
      <w:pPr>
        <w:pStyle w:val="3"/>
        <w:keepNext/>
        <w:rPr>
          <w:rFonts w:hint="default" w:ascii="Times New Roman" w:hAnsi="Times New Roman" w:cs="Times New Roman"/>
        </w:rPr>
      </w:pPr>
      <w:r>
        <w:rPr>
          <w:rFonts w:hint="default" w:ascii="Times New Roman" w:hAnsi="Times New Roman" w:cs="Times New Roman"/>
        </w:rPr>
        <w:t>Model Design Considerations</w:t>
      </w:r>
    </w:p>
    <w:p w14:paraId="5391E23A">
      <w:pPr>
        <w:jc w:val="both"/>
      </w:pPr>
      <w:r>
        <w:t xml:space="preserve">Treating each medicine name as a class allows standard image classifiers to be used and avoids character segmentation, which is particularly difficult in cursive handwriting. Transfer learning is used because only 40 training images are available per class: backbones pretrained on ImageNet provide general visual features such as edges, curves, and textures, so only a small classification head needs to be learned, with about 160,000 trainable parameters for ResNet-50 and 80,000 for DenseNet-121. The compact CNN, with about 408,000 trainable parameters, serves as a from-scratch baseline, and dropout and the ElasticNet penalty are included to limit overfitting.</w:t>
      </w:r>
    </w:p>
    <w:p w14:paraId="73400F9A">
      <w:pPr>
        <w:jc w:val="both"/>
      </w:pPr>
      <w:r>
        <w:t xml:space="preserve">Important design choices include the input resolution, normalization, augmentation, learning rate, number of epochs, and whether the backbone is frozen. The recorded training curves show that training and validation loss were still decreasing after three epochs and that training and validation scores remained close, which indicates underfitting rather than overfitting. Longer training, unfreezing deeper backbone layers with a lower learning rate, and a higher input resolution are therefore the most direct improvements. Horizontal flipping produces mirrored handwriting that never occurs in real prescriptions, so it should be replaced by more suitable augmentations such as slight scaling, shearing, or elastic distortion. These parameters should be selected using training and validation data, not repeatedly adjusted based on test-set results.</w:t>
      </w:r>
    </w:p>
    <w:p w14:paraId="79C3575D">
      <w:pPr>
        <w:pStyle w:val="3"/>
        <w:keepNext/>
        <w:rPr>
          <w:rFonts w:hint="default" w:ascii="Times New Roman" w:hAnsi="Times New Roman" w:cs="Times New Roman"/>
        </w:rPr>
      </w:pPr>
      <w:r>
        <w:rPr>
          <w:rFonts w:hint="default" w:ascii="Times New Roman" w:hAnsi="Times New Roman" w:cs="Times New Roman"/>
        </w:rPr>
        <w:t>Testing Strategy</w:t>
      </w:r>
    </w:p>
    <w:p w14:paraId="6EBBDB60">
      <w:pPr>
        <w:jc w:val="both"/>
      </w:pPr>
      <w:r>
        <w:t xml:space="preserve">Unit testing can verify that dataset discovery, image loading, resizing, normalization, text normalization, fuzzy matching, regular-expression extraction, and label mapping behave correctly on known inputs. Integration testing can verify that an image passes through each complete path and produces an output of the expected type and shape. Functional testing can check normal images, unreadable files, blank images, and text that contains no recognizable medicine. Robustness testing can investigate how results change with image resolution, noise, lighting, and handwriting from writers who are not represented in the training data.</w:t>
      </w:r>
    </w:p>
    <w:p w14:paraId="17CE99F9">
      <w:pPr>
        <w:pStyle w:val="3"/>
        <w:keepNext/>
        <w:rPr>
          <w:rFonts w:hint="default" w:ascii="Times New Roman" w:hAnsi="Times New Roman" w:cs="Times New Roman"/>
        </w:rPr>
      </w:pPr>
      <w:r>
        <w:rPr>
          <w:rFonts w:hint="default" w:ascii="Times New Roman" w:hAnsi="Times New Roman" w:cs="Times New Roman"/>
        </w:rPr>
        <w:t>Risks and Mitigation</w:t>
      </w:r>
    </w:p>
    <w:p w14:paraId="13E6DB70">
      <w:pPr>
        <w:jc w:val="both"/>
      </w:pPr>
      <w:r>
        <w:t xml:space="preserve">Data leakage is avoided by using the predefined dataset splits and selecting checkpoints on validation data only. The observed underfitting can be addressed through longer training and partial fine-tuning, while overfitting can be monitored by comparing training and validation curves. Noisy metrics caused by only 10 test images per class can be reduced with cross-validation or a larger test set. The poor performance of Tesseract on handwriting can be addressed with a handwriting-specific recognizer such as CRNN or TrOCR. Incorrect label mapping is prevented by deriving all names from one mapping file, and annotating a subset of Dataset B would make its results measurable. Unsupported clinical claims are avoided by clearly stating the educational scope and limitations.</w:t>
      </w:r>
    </w:p>
    <w:p w14:paraId="5376B416">
      <w:r>
        <w:br w:type="page"/>
      </w:r>
    </w:p>
    <w:p w14:paraId="54829ED9">
      <w:pPr>
        <w:spacing w:after="80"/>
        <w:jc w:val="center"/>
      </w:pPr>
      <w:r>
        <w:rPr>
          <w:rFonts w:ascii="Times New Roman" w:hAnsi="Times New Roman"/>
          <w:b/>
          <w:color w:val="1F1F70"/>
          <w:sz w:val="30"/>
        </w:rPr>
        <w:t>VIII. CONCLUSION</w:t>
      </w:r>
    </w:p>
    <w:p w14:paraId="4F4C50B6">
      <w:pPr>
        <w:pStyle w:val="33"/>
        <w:keepNext w:val="0"/>
        <w:keepLines w:val="0"/>
        <w:widowControl/>
        <w:suppressLineNumbers w:val="0"/>
        <w:spacing w:line="360" w:lineRule="auto"/>
        <w:jc w:val="both"/>
      </w:pPr>
      <w:r>
        <w:t xml:space="preserve">This project demonstrates an educational implementation of handwritten prescription recognition that compares a classical OCR pipeline with deep-learning image classification on the same data. The workflow includes dataset discovery and validation, image preprocessing, text-region detection, Tesseract OCR, fuzzy matching against a 78-medicine vocabulary, rule-based extraction of drug, dosage, and frequency entities, transfer learning with ResNet-50 and DenseNet-121, a from-scratch ElasticNet-regularized CNN, and evaluation using accuracy, macro F1-score, macro ROC-AUC, and confusion matrices. The results show that general-purpose OCR is not suitable for cursive medical handwriting, reaching only 3.1% accuracy, and that pretrained CNNs learn more useful representations, with ResNet-50 achieving the best test ROC-AUC of 0.72. At the same time, a best accuracy of 8% is far from what practical use would require, and the training curves indicate that the models were still underfitted within the short three-epoch budget. Future improvements include fine-tuning deeper layers for more epochs, replacing unsuitable augmentations, enlarging the dataset, adopting handwriting-specific sequence models such as CRNN or TrOCR that can read unseen words, and annotating full prescriptions for end-to-end evaluation. Overall, the project provides a reproducible baseline and a clear understanding of the problem, with its outputs intended for educational and research purposes rather than for dispensing decisions.</w:t>
      </w:r>
    </w:p>
    <w:p w14:paraId="4F100827">
      <w:r>
        <w:br w:type="page"/>
      </w:r>
    </w:p>
    <w:p w14:paraId="14ED2137">
      <w:pPr>
        <w:spacing w:after="80"/>
        <w:jc w:val="center"/>
      </w:pPr>
      <w:r>
        <w:rPr>
          <w:rFonts w:ascii="Times New Roman" w:hAnsi="Times New Roman"/>
          <w:b/>
          <w:color w:val="1F1F70"/>
          <w:sz w:val="30"/>
        </w:rPr>
        <w:t>REFERENCES</w:t>
      </w:r>
    </w:p>
    <w:p w14:paraId="7F04ED82">
      <w:pPr>
        <w:pStyle w:val="29"/>
        <w:jc w:val="both"/>
      </w:pPr>
      <w:r>
        <w:t xml:space="preserve">Plamondon, R., &amp; Srihari, S. N. (2000). On-line and off-line handwriting recognition: A comprehensive survey. IEEE Transactions on Pattern Analysis and Machine Intelligence, 22(1), 63–84. https://doi.org/10.1109/34.824821</w:t>
      </w:r>
    </w:p>
    <w:p w14:paraId="5BD77C96">
      <w:pPr>
        <w:pStyle w:val="29"/>
        <w:jc w:val="both"/>
      </w:pPr>
      <w:r>
        <w:t xml:space="preserve">Smith, R. (2007). An overview of the Tesseract OCR engine. In Proceedings of the Ninth International Conference on Document Analysis and Recognition (ICDAR 2007), 2, 629–633. https://doi.org/10.1109/ICDAR.2007.4376991</w:t>
      </w:r>
    </w:p>
    <w:p w14:paraId="233B28E0">
      <w:pPr>
        <w:pStyle w:val="29"/>
        <w:jc w:val="both"/>
      </w:pPr>
      <w:r>
        <w:t xml:space="preserve">Shi, B., Bai, X., &amp; Yao, C. (2017). An end-to-end trainable neural network for image-based sequence recognition and its application to scene text recognition. IEEE Transactions on Pattern Analysis and Machine Intelligence, 39(11), 2298–2304. https://doi.org/10.1109/TPAMI.2016.2646371</w:t>
      </w:r>
    </w:p>
    <w:p w14:paraId="6E649AC0">
      <w:pPr>
        <w:pStyle w:val="29"/>
        <w:jc w:val="both"/>
      </w:pPr>
      <w:r>
        <w:t xml:space="preserve">Li, M., Lv, T., Chen, J., et al. (2023). TrOCR: Transformer-based optical character recognition with pre-trained models. Proceedings of the AAAI Conference on Artificial Intelligence, 37(11), 13094–13102. https://doi.org/10.1609/aaai.v37i11.26538</w:t>
      </w:r>
    </w:p>
    <w:p w14:paraId="0161BCBA">
      <w:pPr>
        <w:pStyle w:val="29"/>
        <w:jc w:val="both"/>
      </w:pPr>
      <w:r>
        <w:t xml:space="preserve">He, K., Zhang, X., Ren, S., &amp; Sun, J. (2016). Deep residual learning for image recognition. In Proceedings of the IEEE Conference on Computer Vision and Pattern Recognition (CVPR), 770–778. https://doi.org/10.1109/CVPR.2016.90</w:t>
      </w:r>
    </w:p>
    <w:p w14:paraId="6D8F4201">
      <w:pPr>
        <w:pStyle w:val="29"/>
        <w:jc w:val="both"/>
      </w:pPr>
      <w:r>
        <w:t xml:space="preserve">Huang, G., Liu, Z., van der Maaten, L., &amp; Weinberger, K. Q. (2017). Densely connected convolutional networks. In Proceedings of the IEEE Conference on Computer Vision and Pattern Recognition (CVPR), 2261–2269. https://doi.org/10.1109/CVPR.2017.243</w:t>
      </w:r>
    </w:p>
    <w:p w14:paraId="51FC6C96">
      <w:pPr>
        <w:pStyle w:val="29"/>
        <w:jc w:val="both"/>
      </w:pPr>
      <w:r>
        <w:t xml:space="preserve">Zou, H., &amp; Hastie, T. (2005). Regularization and variable selection via the elastic net. Journal of the Royal Statistical Society: Series B (Statistical Methodology), 67(2), 301–320. https://doi.org/10.1111/j.1467-9868.2005.00503.x</w:t>
      </w:r>
    </w:p>
    <w:p w14:paraId="1806458F">
      <w:pPr>
        <w:pStyle w:val="29"/>
        <w:jc w:val="both"/>
      </w:pPr>
      <w:r>
        <w:t xml:space="preserve">OCR Processed Handwritten Prescriptions [Dataset]. Kaggle. Used as Dataset A (78 medicine classes with training, validation, and test label files and mapping.json); Kaggle input: ocr-processed-handwritten-prescriptions.</w:t>
      </w:r>
    </w:p>
    <w:p w14:paraId="561AB4AF">
      <w:pPr>
        <w:pStyle w:val="29"/>
        <w:jc w:val="both"/>
      </w:pPr>
      <w:r>
        <w:t xml:space="preserve">Illegible Medical Prescription Images Dataset [Dataset]. Kaggle. Used as Dataset B (129 full handwritten prescription images without labels); Kaggle input: illegible-medical-prescription-images-dataset.</w:t>
      </w:r>
    </w:p>
    <w:p w14:paraId="5056B84C">
      <w:pPr>
        <w:pStyle w:val="29"/>
        <w:jc w:val="both"/>
      </w:pPr>
      <w:r>
        <w:t xml:space="preserve">World Health Organization. (2017). Medication Without Harm: WHO Global Patient Safety Challenge (WHO/HIS/SDS/2017.6). World Health Organization. https://www.who.int/initiatives/medication-without-harm</w:t>
      </w:r>
    </w:p>
    <w:sectPr>
      <w:footerReference r:id="rId8" w:type="default"/>
      <w:pgSz w:w="12240" w:h="15840"/>
      <w:pgMar w:top="1152" w:right="1296" w:bottom="1080" w:left="1296" w:header="720" w:footer="720" w:gutter="0"/>
      <w:pgBorders w:offsetFrom="page">
        <w:top w:val="twistedLines1" w:color="1F1F70" w:sz="10" w:space="18"/>
        <w:left w:val="twistedLines1" w:color="1F1F70" w:sz="10" w:space="18"/>
        <w:bottom w:val="twistedLines1" w:color="1F1F70" w:sz="10" w:space="18"/>
        <w:right w:val="twistedLines1" w:color="1F1F70" w:sz="10" w:space="18"/>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81736">
    <w:pPr>
      <w:pStyle w:val="18"/>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212A0">
    <w:pPr>
      <w:pStyle w:val="18"/>
      <w:jc w:val="both"/>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15CDD1">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4815CDD1">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C710F">
    <w:pPr>
      <w:pStyle w:val="18"/>
      <w:jc w:val="both"/>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EC925">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1A9EC925">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BDDC4">
    <w:pPr>
      <w:pStyle w:val="18"/>
      <w:jc w:val="both"/>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AB584">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528AB584">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A30E0"/>
    <w:rsid w:val="0EA17110"/>
    <w:rsid w:val="266C352F"/>
    <w:rsid w:val="3C2E58EB"/>
    <w:rsid w:val="42B11578"/>
    <w:rsid w:val="67FD7F00"/>
    <w:rsid w:val="7C7262F5"/>
    <w:rsid w:val="7F721D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2970</Words>
  <Characters>18345</Characters>
  <Lines>0</Lines>
  <Paragraphs>0</Paragraphs>
  <TotalTime>52</TotalTime>
  <ScaleCrop>false</ScaleCrop>
  <LinksUpToDate>false</LinksUpToDate>
  <CharactersWithSpaces>21447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terms:modified xsi:type="dcterms:W3CDTF">2026-10-15T20:52:03Z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1033-12.1.0.29162</vt:lpwstr>
  </property>
  <property fmtid="{D5CDD505-2E9C-101B-9397-08002B2CF9AE}" pid="4" name="ICV">
    <vt:lpwstr>087901D4E0DB409E987C1E56600DE01A_12</vt:lpwstr>
  </property>
</Properties>
</file>