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77777777" w:rsidR="004B1B94" w:rsidRDefault="004B1B94">
      <w:r>
        <w:t>10, 13, 18, 22, 27, 32, 38, 40, 45, 51, 56, 57, 88, 90, 92, 94, 99</w:t>
      </w:r>
    </w:p>
    <w:p w14:paraId="06E9A11E" w14:textId="77777777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4BD6C0AF" w14:textId="77777777" w:rsidR="006939F5" w:rsidRDefault="006939F5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105E0751" w14:textId="77777777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1DD05086" w14:textId="02317D9A" w:rsidR="00133F7C" w:rsidRDefault="00133F7C" w:rsidP="00D7320E">
      <w:pPr>
        <w:rPr>
          <w:noProof/>
        </w:rPr>
      </w:pPr>
    </w:p>
    <w:p w14:paraId="3FAC410E" w14:textId="0FFDCA59" w:rsidR="00B5558C" w:rsidRDefault="00B5558C" w:rsidP="00D7320E">
      <w:pPr>
        <w:rPr>
          <w:noProof/>
        </w:rPr>
      </w:pPr>
      <w:r>
        <w:rPr>
          <w:noProof/>
        </w:rPr>
        <w:t>Answer 1:</w:t>
      </w:r>
    </w:p>
    <w:p w14:paraId="5BADE365" w14:textId="4E9578E1" w:rsidR="006D1C16" w:rsidRDefault="00283A67">
      <w:r>
        <w:rPr>
          <w:noProof/>
        </w:rPr>
        <mc:AlternateContent>
          <mc:Choice Requires="cx1">
            <w:drawing>
              <wp:inline distT="0" distB="0" distL="0" distR="0" wp14:anchorId="7E2C7437" wp14:editId="3D7D6D59">
                <wp:extent cx="5731510" cy="2790825"/>
                <wp:effectExtent l="0" t="0" r="2540" b="952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FC68C-A9A3-2300-E9F8-9D64A81F1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E2C7437" wp14:editId="3D7D6D59">
                <wp:extent cx="5731510" cy="2790825"/>
                <wp:effectExtent l="0" t="0" r="2540" b="952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FC68C-A9A3-2300-E9F8-9D64A81F13A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852FC68C-A9A3-2300-E9F8-9D64A81F13A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601850" w14:textId="2D30B539" w:rsidR="00B5558C" w:rsidRDefault="00B5558C">
      <w:r>
        <w:t xml:space="preserve">Answer 2: The formula for Confidence Interval (CI) = Mean 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 xml:space="preserve">± </w:t>
      </w:r>
      <w:r w:rsidRPr="00B5558C">
        <w:t>1.28</w:t>
      </w:r>
      <w:r w:rsidRPr="00B5558C">
        <w:t xml:space="preserve">* </w:t>
      </w:r>
      <w:r>
        <w:t>S.D.</w:t>
      </w:r>
      <w:r w:rsidRPr="00B5558C">
        <w:t>/</w:t>
      </w:r>
      <w:proofErr w:type="gramStart"/>
      <w:r>
        <w:t>Sqrt.(</w:t>
      </w:r>
      <w:proofErr w:type="gramEnd"/>
      <w:r>
        <w:t>N)</w:t>
      </w:r>
    </w:p>
    <w:p w14:paraId="00FB0505" w14:textId="7D652B95" w:rsidR="00B5558C" w:rsidRDefault="00B5558C">
      <w:r>
        <w:t xml:space="preserve">= 520 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±</w:t>
      </w:r>
      <w:r>
        <w:rPr>
          <w:rStyle w:val="Emphasis"/>
          <w:rFonts w:ascii="Open Sans" w:hAnsi="Open Sans" w:cs="Open Sans"/>
          <w:i w:val="0"/>
          <w:iCs w:val="0"/>
          <w:color w:val="000000"/>
          <w:shd w:val="clear" w:color="auto" w:fill="FFFFFF"/>
        </w:rPr>
        <w:t xml:space="preserve"> </w:t>
      </w:r>
      <w:r w:rsidRPr="00B5558C">
        <w:t>1.28(</w:t>
      </w:r>
      <w:r>
        <w:t>100/</w:t>
      </w:r>
      <w:proofErr w:type="gramStart"/>
      <w:r>
        <w:t>Sqrt(</w:t>
      </w:r>
      <w:proofErr w:type="gramEnd"/>
      <w:r>
        <w:t>25))</w:t>
      </w:r>
    </w:p>
    <w:p w14:paraId="07C754A1" w14:textId="3B316763" w:rsidR="00B5558C" w:rsidRDefault="00B5558C" w:rsidP="00B5558C">
      <w:r>
        <w:t xml:space="preserve">= 520 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±</w:t>
      </w:r>
      <w:r>
        <w:rPr>
          <w:rStyle w:val="Emphasis"/>
          <w:rFonts w:ascii="Open Sans" w:hAnsi="Open Sans" w:cs="Open Sans"/>
          <w:i w:val="0"/>
          <w:iCs w:val="0"/>
          <w:color w:val="000000"/>
          <w:shd w:val="clear" w:color="auto" w:fill="FFFFFF"/>
        </w:rPr>
        <w:t xml:space="preserve"> </w:t>
      </w:r>
      <w:r w:rsidRPr="00B5558C">
        <w:t>1.28(</w:t>
      </w:r>
      <w:r>
        <w:t>100/</w:t>
      </w:r>
      <w:r>
        <w:t>5</w:t>
      </w:r>
      <w:r>
        <w:t>)</w:t>
      </w:r>
    </w:p>
    <w:p w14:paraId="7158231E" w14:textId="267CA576" w:rsidR="00B5558C" w:rsidRDefault="00B5558C" w:rsidP="00B5558C">
      <w:r>
        <w:t xml:space="preserve">= </w:t>
      </w:r>
      <w:r>
        <w:t xml:space="preserve">520 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±</w:t>
      </w:r>
      <w:r>
        <w:rPr>
          <w:rStyle w:val="Emphasis"/>
          <w:rFonts w:ascii="Open Sans" w:hAnsi="Open Sans" w:cs="Open Sans"/>
          <w:i w:val="0"/>
          <w:iCs w:val="0"/>
          <w:color w:val="000000"/>
          <w:shd w:val="clear" w:color="auto" w:fill="FFFFFF"/>
        </w:rPr>
        <w:t xml:space="preserve"> </w:t>
      </w:r>
      <w:r w:rsidRPr="00B5558C">
        <w:t>1.28(</w:t>
      </w:r>
      <w:r>
        <w:t>20</w:t>
      </w:r>
      <w:r>
        <w:t>)</w:t>
      </w:r>
      <w:r>
        <w:t xml:space="preserve"> = </w:t>
      </w:r>
      <w:r>
        <w:t xml:space="preserve">520 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±</w:t>
      </w:r>
      <w:r>
        <w:rPr>
          <w:rStyle w:val="Emphasis"/>
          <w:rFonts w:ascii="Open Sans" w:hAnsi="Open Sans" w:cs="Open Sans"/>
          <w:i w:val="0"/>
          <w:iCs w:val="0"/>
          <w:color w:val="000000"/>
          <w:shd w:val="clear" w:color="auto" w:fill="FFFFFF"/>
        </w:rPr>
        <w:t xml:space="preserve"> </w:t>
      </w:r>
      <w:r>
        <w:t>25.6 = [525.6, 494.4]</w:t>
      </w:r>
    </w:p>
    <w:p w14:paraId="16E45957" w14:textId="51441E4B" w:rsidR="00E9776F" w:rsidRDefault="00E9776F" w:rsidP="00B5558C"/>
    <w:p w14:paraId="3D4B0C39" w14:textId="0320AC8B" w:rsidR="00E9776F" w:rsidRDefault="00E9776F" w:rsidP="00B5558C"/>
    <w:p w14:paraId="17880F10" w14:textId="42F9CC5B" w:rsidR="00E9776F" w:rsidRDefault="00E9776F" w:rsidP="00B5558C">
      <w:r>
        <w:lastRenderedPageBreak/>
        <w:t xml:space="preserve">Answer 3: </w:t>
      </w:r>
    </w:p>
    <w:p w14:paraId="5B7FB25D" w14:textId="25FB0997" w:rsidR="00E9776F" w:rsidRDefault="00E9776F" w:rsidP="00B5558C">
      <w:r>
        <w:t>Null Hypothesis: The share of citizens of city ABC that owns a vehicle is not more than 60%</w:t>
      </w:r>
    </w:p>
    <w:p w14:paraId="519C2AF7" w14:textId="6A1F482D" w:rsidR="00E9776F" w:rsidRDefault="00E9776F" w:rsidP="00E9776F">
      <w:r>
        <w:t xml:space="preserve">Alternate Hypothesis: The </w:t>
      </w:r>
      <w:r>
        <w:t xml:space="preserve">share of citizens of city ABC that owns a vehicle is </w:t>
      </w:r>
      <w:r>
        <w:t>greater</w:t>
      </w:r>
      <w:r>
        <w:t xml:space="preserve"> than 60%</w:t>
      </w:r>
    </w:p>
    <w:p w14:paraId="2AABB954" w14:textId="3CB65033" w:rsidR="00E9776F" w:rsidRDefault="00E9776F" w:rsidP="00B5558C"/>
    <w:p w14:paraId="392F7D35" w14:textId="31A77E94" w:rsidR="006C618D" w:rsidRDefault="006C618D" w:rsidP="00B5558C">
      <m:oMathPara>
        <m:oMath>
          <m:r>
            <w:rPr>
              <w:rFonts w:ascii="Cambria Math" w:hAnsi="Cambria Math"/>
            </w:rPr>
            <m:t>Z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0.68 – 0.6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0.6(1-0.6)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0.080</m:t>
              </m:r>
            </m:num>
            <m:den>
              <m:r>
                <w:rPr>
                  <w:rFonts w:ascii="Cambria Math" w:hAnsi="Cambria Math"/>
                </w:rPr>
                <m:t>0.031</m:t>
              </m:r>
            </m:den>
          </m:f>
          <m:r>
            <w:rPr>
              <w:rFonts w:ascii="Cambria Math" w:hAnsi="Cambria Math"/>
            </w:rPr>
            <m:t xml:space="preserve">≈2.58 </m:t>
          </m:r>
        </m:oMath>
      </m:oMathPara>
    </w:p>
    <w:p w14:paraId="416C01B8" w14:textId="77777777" w:rsidR="006C618D" w:rsidRDefault="006C618D" w:rsidP="00B5558C"/>
    <w:p w14:paraId="0B4AAF91" w14:textId="6BC08A56" w:rsidR="00B5558C" w:rsidRDefault="006C618D" w:rsidP="00B5558C">
      <w:r>
        <w:t xml:space="preserve">The statistic is greater than the critical value. </w:t>
      </w:r>
      <w:proofErr w:type="gramStart"/>
      <w:r>
        <w:t>So</w:t>
      </w:r>
      <w:proofErr w:type="gramEnd"/>
      <w:r>
        <w:t xml:space="preserve"> we can reject the null hypothesis.</w:t>
      </w:r>
    </w:p>
    <w:p w14:paraId="2D45E7F2" w14:textId="350940E2" w:rsidR="00B5558C" w:rsidRDefault="00970C44">
      <w:r>
        <w:t>Answer 4: 11 is the value of the 99</w:t>
      </w:r>
      <w:r w:rsidRPr="00970C44">
        <w:rPr>
          <w:vertAlign w:val="superscript"/>
        </w:rPr>
        <w:t>th</w:t>
      </w:r>
      <w:r>
        <w:t xml:space="preserve"> percentile.</w:t>
      </w:r>
    </w:p>
    <w:p w14:paraId="3F0AFC70" w14:textId="23832277" w:rsidR="00970C44" w:rsidRDefault="00970C44"/>
    <w:p w14:paraId="78CDF788" w14:textId="52AD57AA" w:rsidR="00970C44" w:rsidRDefault="00970C44">
      <w:r>
        <w:t>Answer 5:</w:t>
      </w:r>
      <w:r w:rsidR="00C21188">
        <w:t xml:space="preserve"> In a left skewed data the mean is less than the median, which is less than the mode. See example below.</w:t>
      </w:r>
      <w:r w:rsidR="00283A67">
        <w:t xml:space="preserve">  </w:t>
      </w:r>
      <w:r w:rsidR="00283A67">
        <w:t xml:space="preserve">In a </w:t>
      </w:r>
      <w:r w:rsidR="00283A67">
        <w:t>right</w:t>
      </w:r>
      <w:r w:rsidR="00283A67">
        <w:t xml:space="preserve"> skewed data</w:t>
      </w:r>
      <w:r w:rsidR="00283A67">
        <w:t>,</w:t>
      </w:r>
      <w:r w:rsidR="00283A67">
        <w:t xml:space="preserve"> the mean </w:t>
      </w:r>
      <w:r w:rsidR="00283A67">
        <w:t>has the greatest value, followed by the median and then by the mode. See examples below.</w:t>
      </w:r>
    </w:p>
    <w:tbl>
      <w:tblPr>
        <w:tblStyle w:val="TableGrid"/>
        <w:tblW w:w="1098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86"/>
      </w:tblGrid>
      <w:tr w:rsidR="00283A67" w14:paraId="72482A96" w14:textId="77777777" w:rsidTr="00283A67">
        <w:trPr>
          <w:trHeight w:val="4967"/>
        </w:trPr>
        <w:tc>
          <w:tcPr>
            <w:tcW w:w="5413" w:type="dxa"/>
          </w:tcPr>
          <w:p w14:paraId="059FD202" w14:textId="1CE094D9" w:rsidR="00283A67" w:rsidRDefault="00283A67"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6EBB0DD7" wp14:editId="190ED61D">
                      <wp:extent cx="3381375" cy="2743200"/>
                      <wp:effectExtent l="0" t="0" r="9525" b="0"/>
                      <wp:docPr id="2" name="Chart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8BA286-B183-DB3A-ECF5-ED5D599F18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EBB0DD7" wp14:editId="190ED61D">
                      <wp:extent cx="3381375" cy="2743200"/>
                      <wp:effectExtent l="0" t="0" r="9525" b="0"/>
                      <wp:docPr id="2" name="Chart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8BA286-B183-DB3A-ECF5-ED5D599F184D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hart 2">
                                <a:extLst>
                                  <a:ext uri="{FF2B5EF4-FFF2-40B4-BE49-F238E27FC236}">
                                    <a16:creationId xmlns:a16="http://schemas.microsoft.com/office/drawing/2014/main" id="{3C8BA286-B183-DB3A-ECF5-ED5D599F184D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1375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5567" w:type="dxa"/>
          </w:tcPr>
          <w:p w14:paraId="5F48433B" w14:textId="38D7EDBC" w:rsidR="00283A67" w:rsidRDefault="00283A67"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4EC80F66" wp14:editId="6C03AE8B">
                      <wp:extent cx="3409950" cy="2743200"/>
                      <wp:effectExtent l="0" t="0" r="0" b="0"/>
                      <wp:docPr id="3" name="Chart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7183D9-9A24-133A-7E48-A50F4543F5B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EC80F66" wp14:editId="6C03AE8B">
                      <wp:extent cx="3409950" cy="2743200"/>
                      <wp:effectExtent l="0" t="0" r="0" b="0"/>
                      <wp:docPr id="3" name="Chart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7183D9-9A24-133A-7E48-A50F4543F5BC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Chart 3">
                                <a:extLst>
                                  <a:ext uri="{FF2B5EF4-FFF2-40B4-BE49-F238E27FC236}">
                                    <a16:creationId xmlns:a16="http://schemas.microsoft.com/office/drawing/2014/main" id="{147183D9-9A24-133A-7E48-A50F4543F5BC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995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13105183" w14:textId="77777777" w:rsidR="00283A67" w:rsidRDefault="00283A67" w:rsidP="00283A67"/>
    <w:sectPr w:rsidR="0028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1523" w14:textId="77777777" w:rsidR="003259FE" w:rsidRDefault="003259FE" w:rsidP="00B5558C">
      <w:pPr>
        <w:spacing w:after="0" w:line="240" w:lineRule="auto"/>
      </w:pPr>
      <w:r>
        <w:separator/>
      </w:r>
    </w:p>
  </w:endnote>
  <w:endnote w:type="continuationSeparator" w:id="0">
    <w:p w14:paraId="76948E83" w14:textId="77777777" w:rsidR="003259FE" w:rsidRDefault="003259FE" w:rsidP="00B5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1AF5" w14:textId="77777777" w:rsidR="003259FE" w:rsidRDefault="003259FE" w:rsidP="00B5558C">
      <w:pPr>
        <w:spacing w:after="0" w:line="240" w:lineRule="auto"/>
      </w:pPr>
      <w:r>
        <w:separator/>
      </w:r>
    </w:p>
  </w:footnote>
  <w:footnote w:type="continuationSeparator" w:id="0">
    <w:p w14:paraId="6402B754" w14:textId="77777777" w:rsidR="003259FE" w:rsidRDefault="003259FE" w:rsidP="00B5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133F7C"/>
    <w:rsid w:val="001732FB"/>
    <w:rsid w:val="0017744B"/>
    <w:rsid w:val="001848FA"/>
    <w:rsid w:val="00283A67"/>
    <w:rsid w:val="00302874"/>
    <w:rsid w:val="003259FE"/>
    <w:rsid w:val="003B6FD6"/>
    <w:rsid w:val="004B1B94"/>
    <w:rsid w:val="006939F5"/>
    <w:rsid w:val="006C618D"/>
    <w:rsid w:val="006D1C16"/>
    <w:rsid w:val="0079342C"/>
    <w:rsid w:val="00837BAA"/>
    <w:rsid w:val="00970C44"/>
    <w:rsid w:val="00A923DA"/>
    <w:rsid w:val="00B5558C"/>
    <w:rsid w:val="00C21188"/>
    <w:rsid w:val="00D7320E"/>
    <w:rsid w:val="00DE7404"/>
    <w:rsid w:val="00E568CC"/>
    <w:rsid w:val="00E85A7D"/>
    <w:rsid w:val="00E9776F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558C"/>
    <w:rPr>
      <w:i/>
      <w:iCs/>
    </w:rPr>
  </w:style>
  <w:style w:type="table" w:styleId="TableGrid">
    <w:name w:val="Table Grid"/>
    <w:basedOn w:val="TableNormal"/>
    <w:uiPriority w:val="39"/>
    <w:rsid w:val="0028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Sheet1!$A$1:$Q$1</cx:f>
        <cx:lvl ptCount="17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Histogram (with bin width of 5)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(with bin width of 5)</a:t>
          </a:r>
        </a:p>
      </cx:txPr>
    </cx:title>
    <cx:plotArea>
      <cx:plotAreaRegion>
        <cx:series layoutId="clusteredColumn" uniqueId="{F980559C-9F02-4451-B55B-DBBDBEA22E87}">
          <cx:dataId val="0"/>
          <cx:layoutPr>
            <cx:binning intervalClosed="r">
              <cx:binSize val="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Sheet1!$E$55:$E$64</cx:f>
        <cx:lvl ptCount="10" formatCode="General">
          <cx:pt idx="0">8</cx:pt>
          <cx:pt idx="1">10</cx:pt>
          <cx:pt idx="2">12</cx:pt>
          <cx:pt idx="3">12</cx:pt>
          <cx:pt idx="4">12</cx:pt>
          <cx:pt idx="5">14</cx:pt>
          <cx:pt idx="6">14</cx:pt>
          <cx:pt idx="7">14</cx:pt>
          <cx:pt idx="8">14</cx:pt>
          <cx:pt idx="9">16</cx:pt>
        </cx:lvl>
      </cx:numDim>
    </cx:data>
  </cx:chartData>
  <cx:chart>
    <cx:title pos="t" align="ctr" overlay="0">
      <cx:tx>
        <cx:txData>
          <cx:v>Left Skewed data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Left Skewed data</a:t>
          </a:r>
        </a:p>
      </cx:txPr>
    </cx:title>
    <cx:plotArea>
      <cx:plotAreaRegion>
        <cx:series layoutId="clusteredColumn" uniqueId="{E0BD2C1A-E1C9-47D6-9312-2621212F1EED}" formatIdx="0">
          <cx:dataId val="0"/>
          <cx:layoutPr>
            <cx:binning intervalClosed="r">
              <cx:binCount val="5"/>
            </cx:binning>
          </cx:layoutPr>
        </cx:series>
      </cx:plotAreaRegion>
      <cx:axis id="0" hidden="1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Sheet1!$C$78:$L$78</cx:f>
        <cx:lvl ptCount="10" formatCode="General">
          <cx:pt idx="0">18</cx:pt>
          <cx:pt idx="1">21</cx:pt>
          <cx:pt idx="2">21</cx:pt>
          <cx:pt idx="3">21</cx:pt>
          <cx:pt idx="4">21</cx:pt>
          <cx:pt idx="5">24</cx:pt>
          <cx:pt idx="6">24</cx:pt>
          <cx:pt idx="7">24</cx:pt>
          <cx:pt idx="8">27</cx:pt>
          <cx:pt idx="9">30</cx:pt>
        </cx:lvl>
      </cx:numDim>
    </cx:data>
  </cx:chartData>
  <cx:chart>
    <cx:title pos="t" align="ctr" overlay="0">
      <cx:tx>
        <cx:txData>
          <cx:v>Right skewed data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Right skewed data</a:t>
          </a:r>
        </a:p>
      </cx:txPr>
    </cx:title>
    <cx:plotArea>
      <cx:plotAreaRegion>
        <cx:series layoutId="clusteredColumn" uniqueId="{F854AE0E-D3D9-4F15-BFBF-EBF2AB6B5F0C}">
          <cx:dataId val="0"/>
          <cx:layoutPr>
            <cx:binning intervalClosed="r">
              <cx:binCount val="5"/>
            </cx:binning>
          </cx:layoutPr>
        </cx:series>
      </cx:plotAreaRegion>
      <cx:axis id="0" hidden="1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Kabir Dasgupta</cp:lastModifiedBy>
  <cp:revision>4</cp:revision>
  <dcterms:created xsi:type="dcterms:W3CDTF">2023-07-22T21:50:00Z</dcterms:created>
  <dcterms:modified xsi:type="dcterms:W3CDTF">2023-07-22T22:27:00Z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0e234068-44fa-4269-a220-49e1187a9034</vt:lpwstr>
  </property>
  <property fmtid="{D5CDD505-2E9C-101B-9397-08002B2CF9AE}" pid="3" name="MSIP_Label_d89617e7-b849-4eba-a1df-1e3b2681bf23_Enabled">
    <vt:lpwstr>true</vt:lpwstr>
  </property>
  <property fmtid="{D5CDD505-2E9C-101B-9397-08002B2CF9AE}" pid="4" name="MSIP_Label_d89617e7-b849-4eba-a1df-1e3b2681bf23_SetDate">
    <vt:lpwstr>2023-07-22T21:50:34Z</vt:lpwstr>
  </property>
  <property fmtid="{D5CDD505-2E9C-101B-9397-08002B2CF9AE}" pid="5" name="MSIP_Label_d89617e7-b849-4eba-a1df-1e3b2681bf23_Method">
    <vt:lpwstr>Privileged</vt:lpwstr>
  </property>
  <property fmtid="{D5CDD505-2E9C-101B-9397-08002B2CF9AE}" pid="6" name="MSIP_Label_d89617e7-b849-4eba-a1df-1e3b2681bf23_Name">
    <vt:lpwstr>NONCONFIDENTIAL-EXTERNAL NO LABEL</vt:lpwstr>
  </property>
  <property fmtid="{D5CDD505-2E9C-101B-9397-08002B2CF9AE}" pid="7" name="MSIP_Label_d89617e7-b849-4eba-a1df-1e3b2681bf23_SiteId">
    <vt:lpwstr>87bb2570-5c1e-4973-9c37-09257a95aeb1</vt:lpwstr>
  </property>
  <property fmtid="{D5CDD505-2E9C-101B-9397-08002B2CF9AE}" pid="8" name="MSIP_Label_d89617e7-b849-4eba-a1df-1e3b2681bf23_ActionId">
    <vt:lpwstr>fe7ceb8d-eaae-4afb-8d68-3b22f9e5e16f</vt:lpwstr>
  </property>
  <property fmtid="{D5CDD505-2E9C-101B-9397-08002B2CF9AE}" pid="9" name="MSIP_Label_d89617e7-b849-4eba-a1df-1e3b2681bf23_ContentBits">
    <vt:lpwstr>0</vt:lpwstr>
  </property>
</Properties>
</file>