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软件项目管理计划书</w:t>
      </w:r>
    </w:p>
    <w:p>
      <w:pPr>
        <w:pStyle w:val="Author"/>
      </w:pPr>
      <w:r>
        <w:t xml:space="preserve">SE2026-12</w:t>
      </w:r>
      <w:r>
        <w:t xml:space="preserve"> </w:t>
      </w:r>
      <w:r>
        <w:t xml:space="preserve">绿运先锋项目组</w:t>
      </w:r>
    </w:p>
    <w:p>
      <w:pPr>
        <w:pStyle w:val="Date"/>
      </w:pPr>
      <w:r>
        <w:t xml:space="preserve">2026-06-21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软件项目管理计划书"/>
    <w:p>
      <w:pPr>
        <w:pStyle w:val="Heading1"/>
      </w:pPr>
      <w:r>
        <w:rPr>
          <w:rStyle w:val="SectionNumber"/>
        </w:rPr>
        <w:t xml:space="preserve">1</w:t>
      </w:r>
      <w:r>
        <w:tab/>
      </w:r>
      <w:r>
        <w:t xml:space="preserve">软件项目管理计划书</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项目</w:t>
            </w:r>
          </w:p>
        </w:tc>
        <w:tc>
          <w:tcPr/>
          <w:p>
            <w:pPr>
              <w:pStyle w:val="Compact"/>
              <w:jc w:val="left"/>
            </w:pPr>
            <w:r>
              <w:t xml:space="preserve">内容</w:t>
            </w:r>
          </w:p>
        </w:tc>
      </w:tr>
      <w:tr>
        <w:tc>
          <w:tcPr/>
          <w:p>
            <w:pPr>
              <w:pStyle w:val="Compact"/>
              <w:jc w:val="left"/>
            </w:pPr>
            <w:r>
              <w:t xml:space="preserve">系统名称</w:t>
            </w:r>
          </w:p>
        </w:tc>
        <w:tc>
          <w:tcPr/>
          <w:p>
            <w:pPr>
              <w:pStyle w:val="Compact"/>
              <w:jc w:val="left"/>
            </w:pPr>
            <w:r>
              <w:t xml:space="preserve">绿运先锋</w:t>
            </w:r>
          </w:p>
        </w:tc>
      </w:tr>
      <w:tr>
        <w:tc>
          <w:tcPr/>
          <w:p>
            <w:pPr>
              <w:pStyle w:val="Compact"/>
              <w:jc w:val="left"/>
            </w:pPr>
            <w:r>
              <w:t xml:space="preserve">项目编号</w:t>
            </w:r>
          </w:p>
        </w:tc>
        <w:tc>
          <w:tcPr/>
          <w:p>
            <w:pPr>
              <w:pStyle w:val="Compact"/>
              <w:jc w:val="left"/>
            </w:pPr>
            <w:r>
              <w:t xml:space="preserve">SE2026-12</w:t>
            </w:r>
          </w:p>
        </w:tc>
      </w:tr>
      <w:tr>
        <w:tc>
          <w:tcPr/>
          <w:p>
            <w:pPr>
              <w:pStyle w:val="Compact"/>
              <w:jc w:val="left"/>
            </w:pPr>
            <w:r>
              <w:t xml:space="preserve">文档编号</w:t>
            </w:r>
          </w:p>
        </w:tc>
        <w:tc>
          <w:tcPr/>
          <w:p>
            <w:pPr>
              <w:pStyle w:val="Compact"/>
              <w:jc w:val="left"/>
            </w:pPr>
            <w:r>
              <w:t xml:space="preserve">GA-PMP-001</w:t>
            </w:r>
          </w:p>
        </w:tc>
      </w:tr>
      <w:tr>
        <w:tc>
          <w:tcPr/>
          <w:p>
            <w:pPr>
              <w:pStyle w:val="Compact"/>
              <w:jc w:val="left"/>
            </w:pPr>
            <w:r>
              <w:t xml:space="preserve">版本</w:t>
            </w:r>
          </w:p>
        </w:tc>
        <w:tc>
          <w:tcPr/>
          <w:p>
            <w:pPr>
              <w:pStyle w:val="Compact"/>
              <w:jc w:val="left"/>
            </w:pPr>
            <w:r>
              <w:t xml:space="preserve">V1.0</w:t>
            </w:r>
          </w:p>
        </w:tc>
      </w:tr>
      <w:tr>
        <w:tc>
          <w:tcPr/>
          <w:p>
            <w:pPr>
              <w:pStyle w:val="Compact"/>
              <w:jc w:val="left"/>
            </w:pPr>
            <w:r>
              <w:t xml:space="preserve">编制日期</w:t>
            </w:r>
          </w:p>
        </w:tc>
        <w:tc>
          <w:tcPr/>
          <w:p>
            <w:pPr>
              <w:pStyle w:val="Compact"/>
              <w:jc w:val="left"/>
            </w:pPr>
            <w:r>
              <w:t xml:space="preserve">2026-06-21</w:t>
            </w:r>
          </w:p>
        </w:tc>
      </w:tr>
      <w:tr>
        <w:tc>
          <w:tcPr/>
          <w:p>
            <w:pPr>
              <w:pStyle w:val="Compact"/>
              <w:jc w:val="left"/>
            </w:pPr>
            <w:r>
              <w:t xml:space="preserve">编制依据</w:t>
            </w:r>
          </w:p>
        </w:tc>
        <w:tc>
          <w:tcPr/>
          <w:p>
            <w:pPr>
              <w:pStyle w:val="Compact"/>
              <w:jc w:val="left"/>
            </w:pPr>
            <w:r>
              <w:t xml:space="preserve">README、OpenSpec 规格、后端/前端源码、自动化测试结果</w:t>
            </w:r>
          </w:p>
        </w:tc>
      </w:tr>
    </w:tbl>
    <w:bookmarkStart w:id="20" w:name="项目概述"/>
    <w:p>
      <w:pPr>
        <w:pStyle w:val="Heading2"/>
      </w:pPr>
      <w:r>
        <w:rPr>
          <w:rStyle w:val="SectionNumber"/>
        </w:rPr>
        <w:t xml:space="preserve">1.1</w:t>
      </w:r>
      <w:r>
        <w:tab/>
      </w:r>
      <w:r>
        <w:t xml:space="preserve">项目概述</w:t>
      </w:r>
    </w:p>
    <w:p>
      <w:pPr>
        <w:pStyle w:val="FirstParagraph"/>
      </w:pPr>
      <w:r>
        <w:t xml:space="preserve">绿运先锋是一个面向城市垃圾分类收运场景的多智能体路径优化系统。系统将垃圾桶、收运车辆、处理厂和道路关系抽象为图结构，结合垃圾桶满溢率预测、车辆容量、垃圾类别匹配、处理厂接收范围和路径距离，生成可解释、可复现的多车辆收运路线。</w:t>
      </w:r>
    </w:p>
    <w:p>
      <w:pPr>
        <w:pStyle w:val="BodyText"/>
      </w:pPr>
      <w:r>
        <w:t xml:space="preserve">系统采用 Python FastAPI 后端、React + TypeScript 前端、LangGraph 多智能体编排、NetworkX 图计算和 SQLite/MySQL 知识共享池。核心用户通过地图生成或编辑场景，推进模拟时间，执行路线规划，查看路线、指标、历史记录，并可使用可选 AI 规划助手解释规划结果。</w:t>
      </w:r>
    </w:p>
    <w:bookmarkEnd w:id="20"/>
    <w:bookmarkStart w:id="21" w:name="项目目标"/>
    <w:p>
      <w:pPr>
        <w:pStyle w:val="Heading2"/>
      </w:pPr>
      <w:r>
        <w:rPr>
          <w:rStyle w:val="SectionNumber"/>
        </w:rPr>
        <w:t xml:space="preserve">1.2</w:t>
      </w:r>
      <w:r>
        <w:tab/>
      </w:r>
      <w:r>
        <w:t xml:space="preserve">项目目标</w:t>
      </w:r>
    </w:p>
    <w:p>
      <w:pPr>
        <w:numPr>
          <w:ilvl w:val="0"/>
          <w:numId w:val="1001"/>
        </w:numPr>
        <w:pStyle w:val="Compact"/>
      </w:pPr>
      <w:r>
        <w:t xml:space="preserve">构建可运行的垃圾分类收运多智能体路径优化实验系统。</w:t>
      </w:r>
    </w:p>
    <w:p>
      <w:pPr>
        <w:numPr>
          <w:ilvl w:val="0"/>
          <w:numId w:val="1001"/>
        </w:numPr>
        <w:pStyle w:val="Compact"/>
      </w:pPr>
      <w:r>
        <w:t xml:space="preserve">支持地图可视化、随机/自定义场景、满溢率模拟、路径规划、历史复盘和 AI 解释。</w:t>
      </w:r>
    </w:p>
    <w:p>
      <w:pPr>
        <w:numPr>
          <w:ilvl w:val="0"/>
          <w:numId w:val="1001"/>
        </w:numPr>
        <w:pStyle w:val="Compact"/>
      </w:pPr>
      <w:r>
        <w:t xml:space="preserve">在课程展示场景下实现可演示、可复现、可测试、可部署。</w:t>
      </w:r>
    </w:p>
    <w:p>
      <w:pPr>
        <w:numPr>
          <w:ilvl w:val="0"/>
          <w:numId w:val="1001"/>
        </w:numPr>
        <w:pStyle w:val="Compact"/>
      </w:pPr>
      <w:r>
        <w:t xml:space="preserve">保持项目结构清晰，便于后续接入真实路网、时间窗约束和更多优化策略。</w:t>
      </w:r>
    </w:p>
    <w:bookmarkEnd w:id="21"/>
    <w:bookmarkStart w:id="22" w:name="交付物"/>
    <w:p>
      <w:pPr>
        <w:pStyle w:val="Heading2"/>
      </w:pPr>
      <w:r>
        <w:rPr>
          <w:rStyle w:val="SectionNumber"/>
        </w:rPr>
        <w:t xml:space="preserve">1.3</w:t>
      </w:r>
      <w:r>
        <w:tab/>
      </w:r>
      <w:r>
        <w:t xml:space="preserve">交付物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类型</w:t>
            </w:r>
          </w:p>
        </w:tc>
        <w:tc>
          <w:tcPr/>
          <w:p>
            <w:pPr>
              <w:pStyle w:val="Compact"/>
              <w:jc w:val="left"/>
            </w:pPr>
            <w:r>
              <w:t xml:space="preserve">交付内容</w:t>
            </w:r>
          </w:p>
        </w:tc>
      </w:tr>
      <w:tr>
        <w:tc>
          <w:tcPr/>
          <w:p>
            <w:pPr>
              <w:pStyle w:val="Compact"/>
              <w:jc w:val="left"/>
            </w:pPr>
            <w:r>
              <w:t xml:space="preserve">需求类</w:t>
            </w:r>
          </w:p>
        </w:tc>
        <w:tc>
          <w:tcPr/>
          <w:p>
            <w:pPr>
              <w:pStyle w:val="Compact"/>
              <w:jc w:val="left"/>
            </w:pPr>
            <w:r>
              <w:t xml:space="preserve">软件需求规格说明书、OpenSpec 需求规格</w:t>
            </w:r>
          </w:p>
        </w:tc>
      </w:tr>
      <w:tr>
        <w:tc>
          <w:tcPr/>
          <w:p>
            <w:pPr>
              <w:pStyle w:val="Compact"/>
              <w:jc w:val="left"/>
            </w:pPr>
            <w:r>
              <w:t xml:space="preserve">设计类</w:t>
            </w:r>
          </w:p>
        </w:tc>
        <w:tc>
          <w:tcPr/>
          <w:p>
            <w:pPr>
              <w:pStyle w:val="Compact"/>
              <w:jc w:val="left"/>
            </w:pPr>
            <w:r>
              <w:t xml:space="preserve">软件设计说明书、系统架构和模块说明</w:t>
            </w:r>
          </w:p>
        </w:tc>
      </w:tr>
      <w:tr>
        <w:tc>
          <w:tcPr/>
          <w:p>
            <w:pPr>
              <w:pStyle w:val="Compact"/>
              <w:jc w:val="left"/>
            </w:pPr>
            <w:r>
              <w:t xml:space="preserve">开发类</w:t>
            </w:r>
          </w:p>
        </w:tc>
        <w:tc>
          <w:tcPr/>
          <w:p>
            <w:pPr>
              <w:pStyle w:val="Compact"/>
              <w:jc w:val="left"/>
            </w:pPr>
            <w:r>
              <w:t xml:space="preserve">FastAPI 后端、React 前端、规划算法、知识共享池、AI 助手</w:t>
            </w:r>
          </w:p>
        </w:tc>
      </w:tr>
      <w:tr>
        <w:tc>
          <w:tcPr/>
          <w:p>
            <w:pPr>
              <w:pStyle w:val="Compact"/>
              <w:jc w:val="left"/>
            </w:pPr>
            <w:r>
              <w:t xml:space="preserve">测试类</w:t>
            </w:r>
          </w:p>
        </w:tc>
        <w:tc>
          <w:tcPr/>
          <w:p>
            <w:pPr>
              <w:pStyle w:val="Compact"/>
              <w:jc w:val="left"/>
            </w:pPr>
            <w:r>
              <w:t xml:space="preserve">软件测试计划书、软件测试报告、pytest/Vitest 测试</w:t>
            </w:r>
          </w:p>
        </w:tc>
      </w:tr>
      <w:tr>
        <w:tc>
          <w:tcPr/>
          <w:p>
            <w:pPr>
              <w:pStyle w:val="Compact"/>
              <w:jc w:val="left"/>
            </w:pPr>
            <w:r>
              <w:t xml:space="preserve">运维类</w:t>
            </w:r>
          </w:p>
        </w:tc>
        <w:tc>
          <w:tcPr/>
          <w:p>
            <w:pPr>
              <w:pStyle w:val="Compact"/>
              <w:jc w:val="left"/>
            </w:pPr>
            <w:r>
              <w:t xml:space="preserve">部署指南、README、演示流程</w:t>
            </w:r>
          </w:p>
        </w:tc>
      </w:tr>
      <w:tr>
        <w:tc>
          <w:tcPr/>
          <w:p>
            <w:pPr>
              <w:pStyle w:val="Compact"/>
              <w:jc w:val="left"/>
            </w:pPr>
            <w:r>
              <w:t xml:space="preserve">汇总类</w:t>
            </w:r>
          </w:p>
        </w:tc>
        <w:tc>
          <w:tcPr/>
          <w:p>
            <w:pPr>
              <w:pStyle w:val="Compact"/>
              <w:jc w:val="left"/>
            </w:pPr>
            <w:r>
              <w:t xml:space="preserve">系统源代码汇总 Word 文件</w:t>
            </w:r>
          </w:p>
        </w:tc>
      </w:tr>
    </w:tbl>
    <w:bookmarkEnd w:id="22"/>
    <w:bookmarkStart w:id="23" w:name="工作分解结构"/>
    <w:p>
      <w:pPr>
        <w:pStyle w:val="Heading2"/>
      </w:pPr>
      <w:r>
        <w:rPr>
          <w:rStyle w:val="SectionNumber"/>
        </w:rPr>
        <w:t xml:space="preserve">1.4</w:t>
      </w:r>
      <w:r>
        <w:tab/>
      </w:r>
      <w:r>
        <w:t xml:space="preserve">工作分解结构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WBS</w:t>
            </w:r>
          </w:p>
        </w:tc>
        <w:tc>
          <w:tcPr/>
          <w:p>
            <w:pPr>
              <w:pStyle w:val="Compact"/>
              <w:jc w:val="left"/>
            </w:pPr>
            <w:r>
              <w:t xml:space="preserve">工作包</w:t>
            </w:r>
          </w:p>
        </w:tc>
        <w:tc>
          <w:tcPr/>
          <w:p>
            <w:pPr>
              <w:pStyle w:val="Compact"/>
              <w:jc w:val="left"/>
            </w:pPr>
            <w:r>
              <w:t xml:space="preserve">主要输出</w:t>
            </w:r>
          </w:p>
        </w:tc>
      </w:tr>
      <w:tr>
        <w:tc>
          <w:tcPr/>
          <w:p>
            <w:pPr>
              <w:pStyle w:val="Compact"/>
              <w:jc w:val="left"/>
            </w:pPr>
            <w:r>
              <w:t xml:space="preserve">1.1</w:t>
            </w:r>
          </w:p>
        </w:tc>
        <w:tc>
          <w:tcPr/>
          <w:p>
            <w:pPr>
              <w:pStyle w:val="Compact"/>
              <w:jc w:val="left"/>
            </w:pPr>
            <w:r>
              <w:t xml:space="preserve">需求分析</w:t>
            </w:r>
          </w:p>
        </w:tc>
        <w:tc>
          <w:tcPr/>
          <w:p>
            <w:pPr>
              <w:pStyle w:val="Compact"/>
              <w:jc w:val="left"/>
            </w:pPr>
            <w:r>
              <w:t xml:space="preserve">场景管理、满溢率模拟、规划、历史、AI 助手需求</w:t>
            </w:r>
          </w:p>
        </w:tc>
      </w:tr>
      <w:tr>
        <w:tc>
          <w:tcPr/>
          <w:p>
            <w:pPr>
              <w:pStyle w:val="Compact"/>
              <w:jc w:val="left"/>
            </w:pPr>
            <w:r>
              <w:t xml:space="preserve">1.2</w:t>
            </w:r>
          </w:p>
        </w:tc>
        <w:tc>
          <w:tcPr/>
          <w:p>
            <w:pPr>
              <w:pStyle w:val="Compact"/>
              <w:jc w:val="left"/>
            </w:pPr>
            <w:r>
              <w:t xml:space="preserve">架构设计</w:t>
            </w:r>
          </w:p>
        </w:tc>
        <w:tc>
          <w:tcPr/>
          <w:p>
            <w:pPr>
              <w:pStyle w:val="Compact"/>
              <w:jc w:val="left"/>
            </w:pPr>
            <w:r>
              <w:t xml:space="preserve">前后端分离、LangGraph 工作流、知识共享池设计</w:t>
            </w:r>
          </w:p>
        </w:tc>
      </w:tr>
      <w:tr>
        <w:tc>
          <w:tcPr/>
          <w:p>
            <w:pPr>
              <w:pStyle w:val="Compact"/>
              <w:jc w:val="left"/>
            </w:pPr>
            <w:r>
              <w:t xml:space="preserve">1.3</w:t>
            </w:r>
          </w:p>
        </w:tc>
        <w:tc>
          <w:tcPr/>
          <w:p>
            <w:pPr>
              <w:pStyle w:val="Compact"/>
              <w:jc w:val="left"/>
            </w:pPr>
            <w:r>
              <w:t xml:space="preserve">后端开发</w:t>
            </w:r>
          </w:p>
        </w:tc>
        <w:tc>
          <w:tcPr/>
          <w:p>
            <w:pPr>
              <w:pStyle w:val="Compact"/>
              <w:jc w:val="left"/>
            </w:pPr>
            <w:r>
              <w:t xml:space="preserve">Pydantic 模型、FastAPI API、图计算、规划算法、存储</w:t>
            </w:r>
          </w:p>
        </w:tc>
      </w:tr>
      <w:tr>
        <w:tc>
          <w:tcPr/>
          <w:p>
            <w:pPr>
              <w:pStyle w:val="Compact"/>
              <w:jc w:val="left"/>
            </w:pPr>
            <w:r>
              <w:t xml:space="preserve">1.4</w:t>
            </w:r>
          </w:p>
        </w:tc>
        <w:tc>
          <w:tcPr/>
          <w:p>
            <w:pPr>
              <w:pStyle w:val="Compact"/>
              <w:jc w:val="left"/>
            </w:pPr>
            <w:r>
              <w:t xml:space="preserve">前端开发</w:t>
            </w:r>
          </w:p>
        </w:tc>
        <w:tc>
          <w:tcPr/>
          <w:p>
            <w:pPr>
              <w:pStyle w:val="Compact"/>
              <w:jc w:val="left"/>
            </w:pPr>
            <w:r>
              <w:t xml:space="preserve">地图工作台、路线高亮、历史页、AI 助手弹层</w:t>
            </w:r>
          </w:p>
        </w:tc>
      </w:tr>
      <w:tr>
        <w:tc>
          <w:tcPr/>
          <w:p>
            <w:pPr>
              <w:pStyle w:val="Compact"/>
              <w:jc w:val="left"/>
            </w:pPr>
            <w:r>
              <w:t xml:space="preserve">1.5</w:t>
            </w:r>
          </w:p>
        </w:tc>
        <w:tc>
          <w:tcPr/>
          <w:p>
            <w:pPr>
              <w:pStyle w:val="Compact"/>
              <w:jc w:val="left"/>
            </w:pPr>
            <w:r>
              <w:t xml:space="preserve">测试验证</w:t>
            </w:r>
          </w:p>
        </w:tc>
        <w:tc>
          <w:tcPr/>
          <w:p>
            <w:pPr>
              <w:pStyle w:val="Compact"/>
              <w:jc w:val="left"/>
            </w:pPr>
            <w:r>
              <w:t xml:space="preserve">后端 33 项测试、前端 30 项测试、构建验证</w:t>
            </w:r>
          </w:p>
        </w:tc>
      </w:tr>
      <w:tr>
        <w:tc>
          <w:tcPr/>
          <w:p>
            <w:pPr>
              <w:pStyle w:val="Compact"/>
              <w:jc w:val="left"/>
            </w:pPr>
            <w:r>
              <w:t xml:space="preserve">1.6</w:t>
            </w:r>
          </w:p>
        </w:tc>
        <w:tc>
          <w:tcPr/>
          <w:p>
            <w:pPr>
              <w:pStyle w:val="Compact"/>
              <w:jc w:val="left"/>
            </w:pPr>
            <w:r>
              <w:t xml:space="preserve">文档交付</w:t>
            </w:r>
          </w:p>
        </w:tc>
        <w:tc>
          <w:tcPr/>
          <w:p>
            <w:pPr>
              <w:pStyle w:val="Compact"/>
              <w:jc w:val="left"/>
            </w:pPr>
            <w:r>
              <w:t xml:space="preserve">八份 Word 文档、README、演示说明</w:t>
            </w:r>
          </w:p>
        </w:tc>
      </w:tr>
    </w:tbl>
    <w:bookmarkEnd w:id="23"/>
    <w:bookmarkStart w:id="24" w:name="组织与职责"/>
    <w:p>
      <w:pPr>
        <w:pStyle w:val="Heading2"/>
      </w:pPr>
      <w:r>
        <w:rPr>
          <w:rStyle w:val="SectionNumber"/>
        </w:rPr>
        <w:t xml:space="preserve">1.5</w:t>
      </w:r>
      <w:r>
        <w:tab/>
      </w:r>
      <w:r>
        <w:t xml:space="preserve">组织与职责</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角色</w:t>
            </w:r>
          </w:p>
        </w:tc>
        <w:tc>
          <w:tcPr/>
          <w:p>
            <w:pPr>
              <w:pStyle w:val="Compact"/>
              <w:jc w:val="left"/>
            </w:pPr>
            <w:r>
              <w:t xml:space="preserve">职责</w:t>
            </w:r>
          </w:p>
        </w:tc>
      </w:tr>
      <w:tr>
        <w:tc>
          <w:tcPr/>
          <w:p>
            <w:pPr>
              <w:pStyle w:val="Compact"/>
              <w:jc w:val="left"/>
            </w:pPr>
            <w:r>
              <w:t xml:space="preserve">项目负责人</w:t>
            </w:r>
          </w:p>
        </w:tc>
        <w:tc>
          <w:tcPr/>
          <w:p>
            <w:pPr>
              <w:pStyle w:val="Compact"/>
              <w:jc w:val="left"/>
            </w:pPr>
            <w:r>
              <w:t xml:space="preserve">目标拆解、进度协调、验收标准确认</w:t>
            </w:r>
          </w:p>
        </w:tc>
      </w:tr>
      <w:tr>
        <w:tc>
          <w:tcPr/>
          <w:p>
            <w:pPr>
              <w:pStyle w:val="Compact"/>
              <w:jc w:val="left"/>
            </w:pPr>
            <w:r>
              <w:t xml:space="preserve">后端开发</w:t>
            </w:r>
          </w:p>
        </w:tc>
        <w:tc>
          <w:tcPr/>
          <w:p>
            <w:pPr>
              <w:pStyle w:val="Compact"/>
              <w:jc w:val="left"/>
            </w:pPr>
            <w:r>
              <w:t xml:space="preserve">领域模型、API、规划算法、数据持久化</w:t>
            </w:r>
          </w:p>
        </w:tc>
      </w:tr>
      <w:tr>
        <w:tc>
          <w:tcPr/>
          <w:p>
            <w:pPr>
              <w:pStyle w:val="Compact"/>
              <w:jc w:val="left"/>
            </w:pPr>
            <w:r>
              <w:t xml:space="preserve">前端开发</w:t>
            </w:r>
          </w:p>
        </w:tc>
        <w:tc>
          <w:tcPr/>
          <w:p>
            <w:pPr>
              <w:pStyle w:val="Compact"/>
              <w:jc w:val="left"/>
            </w:pPr>
            <w:r>
              <w:t xml:space="preserve">React 地图可视化、交互流程、AI 助手界面</w:t>
            </w:r>
          </w:p>
        </w:tc>
      </w:tr>
      <w:tr>
        <w:tc>
          <w:tcPr/>
          <w:p>
            <w:pPr>
              <w:pStyle w:val="Compact"/>
              <w:jc w:val="left"/>
            </w:pPr>
            <w:r>
              <w:t xml:space="preserve">测试负责人</w:t>
            </w:r>
          </w:p>
        </w:tc>
        <w:tc>
          <w:tcPr/>
          <w:p>
            <w:pPr>
              <w:pStyle w:val="Compact"/>
              <w:jc w:val="left"/>
            </w:pPr>
            <w:r>
              <w:t xml:space="preserve">测试计划、自动化测试、测试报告</w:t>
            </w:r>
          </w:p>
        </w:tc>
      </w:tr>
      <w:tr>
        <w:tc>
          <w:tcPr/>
          <w:p>
            <w:pPr>
              <w:pStyle w:val="Compact"/>
              <w:jc w:val="left"/>
            </w:pPr>
            <w:r>
              <w:t xml:space="preserve">运维负责人</w:t>
            </w:r>
          </w:p>
        </w:tc>
        <w:tc>
          <w:tcPr/>
          <w:p>
            <w:pPr>
              <w:pStyle w:val="Compact"/>
              <w:jc w:val="left"/>
            </w:pPr>
            <w:r>
              <w:t xml:space="preserve">本地与数据库部署、环境变量、安全配置</w:t>
            </w:r>
          </w:p>
        </w:tc>
      </w:tr>
      <w:tr>
        <w:tc>
          <w:tcPr/>
          <w:p>
            <w:pPr>
              <w:pStyle w:val="Compact"/>
              <w:jc w:val="left"/>
            </w:pPr>
            <w:r>
              <w:t xml:space="preserve">文档负责人</w:t>
            </w:r>
          </w:p>
        </w:tc>
        <w:tc>
          <w:tcPr/>
          <w:p>
            <w:pPr>
              <w:pStyle w:val="Compact"/>
              <w:jc w:val="left"/>
            </w:pPr>
            <w:r>
              <w:t xml:space="preserve">需求、设计、用户手册、部署指南和源代码汇总</w:t>
            </w:r>
          </w:p>
        </w:tc>
      </w:tr>
    </w:tbl>
    <w:bookmarkEnd w:id="24"/>
    <w:bookmarkStart w:id="25" w:name="生命周期与迭代策略"/>
    <w:p>
      <w:pPr>
        <w:pStyle w:val="Heading2"/>
      </w:pPr>
      <w:r>
        <w:rPr>
          <w:rStyle w:val="SectionNumber"/>
        </w:rPr>
        <w:t xml:space="preserve">1.6</w:t>
      </w:r>
      <w:r>
        <w:tab/>
      </w:r>
      <w:r>
        <w:t xml:space="preserve">生命周期与迭代策略</w:t>
      </w:r>
    </w:p>
    <w:p>
      <w:pPr>
        <w:pStyle w:val="FirstParagraph"/>
      </w:pPr>
      <w:r>
        <w:t xml:space="preserve">项目采用小步迭代方式推进，每个能力由 OpenSpec 变更记录沉淀需求与设计，再通过测试验证行为。当前仓库保留了多个已归档变更，包括基础系统构建、路线高亮、规划历史、首页布局优化、亮色主题和 AI 规划助手。</w:t>
      </w:r>
    </w:p>
    <w:bookmarkEnd w:id="25"/>
    <w:bookmarkStart w:id="26" w:name="里程碑计划"/>
    <w:p>
      <w:pPr>
        <w:pStyle w:val="Heading2"/>
      </w:pPr>
      <w:r>
        <w:rPr>
          <w:rStyle w:val="SectionNumber"/>
        </w:rPr>
        <w:t xml:space="preserve">1.7</w:t>
      </w:r>
      <w:r>
        <w:tab/>
      </w:r>
      <w:r>
        <w:t xml:space="preserve">里程碑计划</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里程碑</w:t>
            </w:r>
          </w:p>
        </w:tc>
        <w:tc>
          <w:tcPr/>
          <w:p>
            <w:pPr>
              <w:pStyle w:val="Compact"/>
              <w:jc w:val="left"/>
            </w:pPr>
            <w:r>
              <w:t xml:space="preserve">主要内容</w:t>
            </w:r>
          </w:p>
        </w:tc>
        <w:tc>
          <w:tcPr/>
          <w:p>
            <w:pPr>
              <w:pStyle w:val="Compact"/>
              <w:jc w:val="left"/>
            </w:pPr>
            <w:r>
              <w:t xml:space="preserve">状态</w:t>
            </w:r>
          </w:p>
        </w:tc>
      </w:tr>
      <w:tr>
        <w:tc>
          <w:tcPr/>
          <w:p>
            <w:pPr>
              <w:pStyle w:val="Compact"/>
              <w:jc w:val="left"/>
            </w:pPr>
            <w:r>
              <w:t xml:space="preserve">M1 基础场景与模型</w:t>
            </w:r>
          </w:p>
        </w:tc>
        <w:tc>
          <w:tcPr/>
          <w:p>
            <w:pPr>
              <w:pStyle w:val="Compact"/>
              <w:jc w:val="left"/>
            </w:pPr>
            <w:r>
              <w:t xml:space="preserve">定义节点、边、车辆、处理厂、场景和规划结果模型</w:t>
            </w:r>
          </w:p>
        </w:tc>
        <w:tc>
          <w:tcPr/>
          <w:p>
            <w:pPr>
              <w:pStyle w:val="Compact"/>
              <w:jc w:val="left"/>
            </w:pPr>
            <w:r>
              <w:t xml:space="preserve">已完成</w:t>
            </w:r>
          </w:p>
        </w:tc>
      </w:tr>
      <w:tr>
        <w:tc>
          <w:tcPr/>
          <w:p>
            <w:pPr>
              <w:pStyle w:val="Compact"/>
              <w:jc w:val="left"/>
            </w:pPr>
            <w:r>
              <w:t xml:space="preserve">M2 后端规划能力</w:t>
            </w:r>
          </w:p>
        </w:tc>
        <w:tc>
          <w:tcPr/>
          <w:p>
            <w:pPr>
              <w:pStyle w:val="Compact"/>
              <w:jc w:val="left"/>
            </w:pPr>
            <w:r>
              <w:t xml:space="preserve">场景生成、图校验、满溢率模拟、路线规划</w:t>
            </w:r>
          </w:p>
        </w:tc>
        <w:tc>
          <w:tcPr/>
          <w:p>
            <w:pPr>
              <w:pStyle w:val="Compact"/>
              <w:jc w:val="left"/>
            </w:pPr>
            <w:r>
              <w:t xml:space="preserve">已完成</w:t>
            </w:r>
          </w:p>
        </w:tc>
      </w:tr>
      <w:tr>
        <w:tc>
          <w:tcPr/>
          <w:p>
            <w:pPr>
              <w:pStyle w:val="Compact"/>
              <w:jc w:val="left"/>
            </w:pPr>
            <w:r>
              <w:t xml:space="preserve">M3 前端工作台</w:t>
            </w:r>
          </w:p>
        </w:tc>
        <w:tc>
          <w:tcPr/>
          <w:p>
            <w:pPr>
              <w:pStyle w:val="Compact"/>
              <w:jc w:val="left"/>
            </w:pPr>
            <w:r>
              <w:t xml:space="preserve">地图展示、控制面板、规划结果面板</w:t>
            </w:r>
          </w:p>
        </w:tc>
        <w:tc>
          <w:tcPr/>
          <w:p>
            <w:pPr>
              <w:pStyle w:val="Compact"/>
              <w:jc w:val="left"/>
            </w:pPr>
            <w:r>
              <w:t xml:space="preserve">已完成</w:t>
            </w:r>
          </w:p>
        </w:tc>
      </w:tr>
      <w:tr>
        <w:tc>
          <w:tcPr/>
          <w:p>
            <w:pPr>
              <w:pStyle w:val="Compact"/>
              <w:jc w:val="left"/>
            </w:pPr>
            <w:r>
              <w:t xml:space="preserve">M4 规划历史</w:t>
            </w:r>
          </w:p>
        </w:tc>
        <w:tc>
          <w:tcPr/>
          <w:p>
            <w:pPr>
              <w:pStyle w:val="Compact"/>
              <w:jc w:val="left"/>
            </w:pPr>
            <w:r>
              <w:t xml:space="preserve">记录保存、列表、详情、恢复、重命名</w:t>
            </w:r>
          </w:p>
        </w:tc>
        <w:tc>
          <w:tcPr/>
          <w:p>
            <w:pPr>
              <w:pStyle w:val="Compact"/>
              <w:jc w:val="left"/>
            </w:pPr>
            <w:r>
              <w:t xml:space="preserve">已完成</w:t>
            </w:r>
          </w:p>
        </w:tc>
      </w:tr>
      <w:tr>
        <w:tc>
          <w:tcPr/>
          <w:p>
            <w:pPr>
              <w:pStyle w:val="Compact"/>
              <w:jc w:val="left"/>
            </w:pPr>
            <w:r>
              <w:t xml:space="preserve">M5 AI 助手</w:t>
            </w:r>
          </w:p>
        </w:tc>
        <w:tc>
          <w:tcPr/>
          <w:p>
            <w:pPr>
              <w:pStyle w:val="Compact"/>
              <w:jc w:val="left"/>
            </w:pPr>
            <w:r>
              <w:t xml:space="preserve">record_id 上下文、SSE 流式聊天、错误反馈</w:t>
            </w:r>
          </w:p>
        </w:tc>
        <w:tc>
          <w:tcPr/>
          <w:p>
            <w:pPr>
              <w:pStyle w:val="Compact"/>
              <w:jc w:val="left"/>
            </w:pPr>
            <w:r>
              <w:t xml:space="preserve">已完成</w:t>
            </w:r>
          </w:p>
        </w:tc>
      </w:tr>
      <w:tr>
        <w:tc>
          <w:tcPr/>
          <w:p>
            <w:pPr>
              <w:pStyle w:val="Compact"/>
              <w:jc w:val="left"/>
            </w:pPr>
            <w:r>
              <w:t xml:space="preserve">M6 测试与文档</w:t>
            </w:r>
          </w:p>
        </w:tc>
        <w:tc>
          <w:tcPr/>
          <w:p>
            <w:pPr>
              <w:pStyle w:val="Compact"/>
              <w:jc w:val="left"/>
            </w:pPr>
            <w:r>
              <w:t xml:space="preserve">自动化测试、构建验证、Word 文档交付</w:t>
            </w:r>
          </w:p>
        </w:tc>
        <w:tc>
          <w:tcPr/>
          <w:p>
            <w:pPr>
              <w:pStyle w:val="Compact"/>
              <w:jc w:val="left"/>
            </w:pPr>
            <w:r>
              <w:t xml:space="preserve">本次交付</w:t>
            </w:r>
          </w:p>
        </w:tc>
      </w:tr>
    </w:tbl>
    <w:bookmarkEnd w:id="26"/>
    <w:bookmarkStart w:id="27" w:name="进度管理"/>
    <w:p>
      <w:pPr>
        <w:pStyle w:val="Heading2"/>
      </w:pPr>
      <w:r>
        <w:rPr>
          <w:rStyle w:val="SectionNumber"/>
        </w:rPr>
        <w:t xml:space="preserve">1.8</w:t>
      </w:r>
      <w:r>
        <w:tab/>
      </w:r>
      <w:r>
        <w:t xml:space="preserve">进度管理</w:t>
      </w:r>
    </w:p>
    <w:p>
      <w:pPr>
        <w:numPr>
          <w:ilvl w:val="0"/>
          <w:numId w:val="1002"/>
        </w:numPr>
        <w:pStyle w:val="Compact"/>
      </w:pPr>
      <w:r>
        <w:t xml:space="preserve">每个功能先明确验收条件，再实现后端、前端和测试。</w:t>
      </w:r>
    </w:p>
    <w:p>
      <w:pPr>
        <w:numPr>
          <w:ilvl w:val="0"/>
          <w:numId w:val="1002"/>
        </w:numPr>
        <w:pStyle w:val="Compact"/>
      </w:pPr>
      <w:r>
        <w:t xml:space="preserve">使用</w:t>
      </w:r>
      <w:r>
        <w:t xml:space="preserve"> </w:t>
      </w:r>
      <w:r>
        <w:rPr>
          <w:rStyle w:val="VerbatimChar"/>
        </w:rPr>
        <w:t xml:space="preserve">make test</w:t>
      </w:r>
      <w:r>
        <w:t xml:space="preserve"> </w:t>
      </w:r>
      <w:r>
        <w:t xml:space="preserve">汇总后端测试、前端测试和前端构建。</w:t>
      </w:r>
    </w:p>
    <w:p>
      <w:pPr>
        <w:numPr>
          <w:ilvl w:val="0"/>
          <w:numId w:val="1002"/>
        </w:numPr>
        <w:pStyle w:val="Compact"/>
      </w:pPr>
      <w:r>
        <w:t xml:space="preserve">重要变更归档在</w:t>
      </w:r>
      <w:r>
        <w:t xml:space="preserve"> </w:t>
      </w:r>
      <w:r>
        <w:rPr>
          <w:rStyle w:val="VerbatimChar"/>
        </w:rPr>
        <w:t xml:space="preserve">openspec/changes/archive</w:t>
      </w:r>
      <w:r>
        <w:t xml:space="preserve">，主规格保存在</w:t>
      </w:r>
      <w:r>
        <w:t xml:space="preserve"> </w:t>
      </w:r>
      <w:r>
        <w:rPr>
          <w:rStyle w:val="VerbatimChar"/>
        </w:rPr>
        <w:t xml:space="preserve">openspec/specs</w:t>
      </w:r>
      <w:r>
        <w:t xml:space="preserve">。</w:t>
      </w:r>
    </w:p>
    <w:p>
      <w:pPr>
        <w:numPr>
          <w:ilvl w:val="0"/>
          <w:numId w:val="1002"/>
        </w:numPr>
        <w:pStyle w:val="Compact"/>
      </w:pPr>
      <w:r>
        <w:t xml:space="preserve">交付前检查 README、演示流程和生成文档的一致性。</w:t>
      </w:r>
    </w:p>
    <w:bookmarkEnd w:id="27"/>
    <w:bookmarkStart w:id="28" w:name="质量管理计划"/>
    <w:p>
      <w:pPr>
        <w:pStyle w:val="Heading2"/>
      </w:pPr>
      <w:r>
        <w:rPr>
          <w:rStyle w:val="SectionNumber"/>
        </w:rPr>
        <w:t xml:space="preserve">1.9</w:t>
      </w:r>
      <w:r>
        <w:tab/>
      </w:r>
      <w:r>
        <w:t xml:space="preserve">质量管理计划</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质量目标</w:t>
            </w:r>
          </w:p>
        </w:tc>
        <w:tc>
          <w:tcPr/>
          <w:p>
            <w:pPr>
              <w:pStyle w:val="Compact"/>
              <w:jc w:val="left"/>
            </w:pPr>
            <w:r>
              <w:t xml:space="preserve">度量方式</w:t>
            </w:r>
          </w:p>
        </w:tc>
      </w:tr>
      <w:tr>
        <w:tc>
          <w:tcPr/>
          <w:p>
            <w:pPr>
              <w:pStyle w:val="Compact"/>
              <w:jc w:val="left"/>
            </w:pPr>
            <w:r>
              <w:t xml:space="preserve">功能正确</w:t>
            </w:r>
          </w:p>
        </w:tc>
        <w:tc>
          <w:tcPr/>
          <w:p>
            <w:pPr>
              <w:pStyle w:val="Compact"/>
              <w:jc w:val="left"/>
            </w:pPr>
            <w:r>
              <w:t xml:space="preserve">pytest 和 Vitest 用例通过</w:t>
            </w:r>
          </w:p>
        </w:tc>
      </w:tr>
      <w:tr>
        <w:tc>
          <w:tcPr/>
          <w:p>
            <w:pPr>
              <w:pStyle w:val="Compact"/>
              <w:jc w:val="left"/>
            </w:pPr>
            <w:r>
              <w:t xml:space="preserve">可复现</w:t>
            </w:r>
          </w:p>
        </w:tc>
        <w:tc>
          <w:tcPr/>
          <w:p>
            <w:pPr>
              <w:pStyle w:val="Compact"/>
              <w:jc w:val="left"/>
            </w:pPr>
            <w:r>
              <w:t xml:space="preserve">同 seed 场景和规划结果一致</w:t>
            </w:r>
          </w:p>
        </w:tc>
      </w:tr>
      <w:tr>
        <w:tc>
          <w:tcPr/>
          <w:p>
            <w:pPr>
              <w:pStyle w:val="Compact"/>
              <w:jc w:val="left"/>
            </w:pPr>
            <w:r>
              <w:t xml:space="preserve">可解释</w:t>
            </w:r>
          </w:p>
        </w:tc>
        <w:tc>
          <w:tcPr/>
          <w:p>
            <w:pPr>
              <w:pStyle w:val="Compact"/>
              <w:jc w:val="left"/>
            </w:pPr>
            <w:r>
              <w:t xml:space="preserve">规划结果包含 trace、未分配原因和指标</w:t>
            </w:r>
          </w:p>
        </w:tc>
      </w:tr>
      <w:tr>
        <w:tc>
          <w:tcPr/>
          <w:p>
            <w:pPr>
              <w:pStyle w:val="Compact"/>
              <w:jc w:val="left"/>
            </w:pPr>
            <w:r>
              <w:t xml:space="preserve">可部署</w:t>
            </w:r>
          </w:p>
        </w:tc>
        <w:tc>
          <w:tcPr/>
          <w:p>
            <w:pPr>
              <w:pStyle w:val="Compact"/>
              <w:jc w:val="left"/>
            </w:pPr>
            <w:r>
              <w:t xml:space="preserve">SQLite fallback 与 MySQL 配置均可使用</w:t>
            </w:r>
          </w:p>
        </w:tc>
      </w:tr>
      <w:tr>
        <w:tc>
          <w:tcPr/>
          <w:p>
            <w:pPr>
              <w:pStyle w:val="Compact"/>
              <w:jc w:val="left"/>
            </w:pPr>
            <w:r>
              <w:t xml:space="preserve">安全性</w:t>
            </w:r>
          </w:p>
        </w:tc>
        <w:tc>
          <w:tcPr/>
          <w:p>
            <w:pPr>
              <w:pStyle w:val="Compact"/>
              <w:jc w:val="left"/>
            </w:pPr>
            <w:r>
              <w:t xml:space="preserve">AI API key 仅在后端使用</w:t>
            </w:r>
          </w:p>
        </w:tc>
      </w:tr>
    </w:tbl>
    <w:bookmarkEnd w:id="28"/>
    <w:bookmarkStart w:id="29" w:name="配置管理"/>
    <w:p>
      <w:pPr>
        <w:pStyle w:val="Heading2"/>
      </w:pPr>
      <w:r>
        <w:rPr>
          <w:rStyle w:val="SectionNumber"/>
        </w:rPr>
        <w:t xml:space="preserve">1.10</w:t>
      </w:r>
      <w:r>
        <w:tab/>
      </w:r>
      <w:r>
        <w:t xml:space="preserve">配置管理</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项目</w:t>
            </w:r>
          </w:p>
        </w:tc>
        <w:tc>
          <w:tcPr/>
          <w:p>
            <w:pPr>
              <w:pStyle w:val="Compact"/>
              <w:jc w:val="left"/>
            </w:pPr>
            <w:r>
              <w:t xml:space="preserve">说明</w:t>
            </w:r>
          </w:p>
        </w:tc>
      </w:tr>
      <w:tr>
        <w:tc>
          <w:tcPr/>
          <w:p>
            <w:pPr>
              <w:pStyle w:val="Compact"/>
              <w:jc w:val="left"/>
            </w:pPr>
            <w:r>
              <w:t xml:space="preserve">代码仓库</w:t>
            </w:r>
          </w:p>
        </w:tc>
        <w:tc>
          <w:tcPr/>
          <w:p>
            <w:pPr>
              <w:pStyle w:val="Compact"/>
              <w:jc w:val="left"/>
            </w:pPr>
            <w:r>
              <w:rPr>
                <w:rStyle w:val="VerbatimChar"/>
              </w:rPr>
              <w:t xml:space="preserve">/home/amane/project/green-agent</w:t>
            </w:r>
          </w:p>
        </w:tc>
      </w:tr>
      <w:tr>
        <w:tc>
          <w:tcPr/>
          <w:p>
            <w:pPr>
              <w:pStyle w:val="Compact"/>
              <w:jc w:val="left"/>
            </w:pPr>
            <w:r>
              <w:t xml:space="preserve">Python 配置</w:t>
            </w:r>
          </w:p>
        </w:tc>
        <w:tc>
          <w:tcPr/>
          <w:p>
            <w:pPr>
              <w:pStyle w:val="Compact"/>
              <w:jc w:val="left"/>
            </w:pPr>
            <w:r>
              <w:rPr>
                <w:rStyle w:val="VerbatimChar"/>
              </w:rPr>
              <w:t xml:space="preserve">pyproject.toml</w:t>
            </w:r>
            <w:r>
              <w:t xml:space="preserve">、</w:t>
            </w:r>
            <w:r>
              <w:rPr>
                <w:rStyle w:val="VerbatimChar"/>
              </w:rPr>
              <w:t xml:space="preserve">uv.lock</w:t>
            </w:r>
          </w:p>
        </w:tc>
      </w:tr>
      <w:tr>
        <w:tc>
          <w:tcPr/>
          <w:p>
            <w:pPr>
              <w:pStyle w:val="Compact"/>
              <w:jc w:val="left"/>
            </w:pPr>
            <w:r>
              <w:t xml:space="preserve">前端配置</w:t>
            </w:r>
          </w:p>
        </w:tc>
        <w:tc>
          <w:tcPr/>
          <w:p>
            <w:pPr>
              <w:pStyle w:val="Compact"/>
              <w:jc w:val="left"/>
            </w:pPr>
            <w:r>
              <w:rPr>
                <w:rStyle w:val="VerbatimChar"/>
              </w:rPr>
              <w:t xml:space="preserve">frontend/package.json</w:t>
            </w:r>
            <w:r>
              <w:t xml:space="preserve">、</w:t>
            </w:r>
            <w:r>
              <w:rPr>
                <w:rStyle w:val="VerbatimChar"/>
              </w:rPr>
              <w:t xml:space="preserve">vite.config.ts</w:t>
            </w:r>
            <w:r>
              <w:t xml:space="preserve">、</w:t>
            </w:r>
            <w:r>
              <w:rPr>
                <w:rStyle w:val="VerbatimChar"/>
              </w:rPr>
              <w:t xml:space="preserve">tsconfig.json</w:t>
            </w:r>
          </w:p>
        </w:tc>
      </w:tr>
      <w:tr>
        <w:tc>
          <w:tcPr/>
          <w:p>
            <w:pPr>
              <w:pStyle w:val="Compact"/>
              <w:jc w:val="left"/>
            </w:pPr>
            <w:r>
              <w:t xml:space="preserve">环境变量</w:t>
            </w:r>
          </w:p>
        </w:tc>
        <w:tc>
          <w:tcPr/>
          <w:p>
            <w:pPr>
              <w:pStyle w:val="Compact"/>
              <w:jc w:val="left"/>
            </w:pPr>
            <w:r>
              <w:rPr>
                <w:rStyle w:val="VerbatimChar"/>
              </w:rPr>
              <w:t xml:space="preserve">.env.example</w:t>
            </w:r>
            <w:r>
              <w:t xml:space="preserve"> </w:t>
            </w:r>
            <w:r>
              <w:t xml:space="preserve">提供示例，真实</w:t>
            </w:r>
            <w:r>
              <w:t xml:space="preserve"> </w:t>
            </w:r>
            <w:r>
              <w:rPr>
                <w:rStyle w:val="VerbatimChar"/>
              </w:rPr>
              <w:t xml:space="preserve">.env</w:t>
            </w:r>
            <w:r>
              <w:t xml:space="preserve"> </w:t>
            </w:r>
            <w:r>
              <w:t xml:space="preserve">不提交</w:t>
            </w:r>
          </w:p>
        </w:tc>
      </w:tr>
      <w:tr>
        <w:tc>
          <w:tcPr/>
          <w:p>
            <w:pPr>
              <w:pStyle w:val="Compact"/>
              <w:jc w:val="left"/>
            </w:pPr>
            <w:r>
              <w:t xml:space="preserve">数据库</w:t>
            </w:r>
          </w:p>
        </w:tc>
        <w:tc>
          <w:tcPr/>
          <w:p>
            <w:pPr>
              <w:pStyle w:val="Compact"/>
              <w:jc w:val="left"/>
            </w:pPr>
            <w:r>
              <w:t xml:space="preserve">默认</w:t>
            </w:r>
            <w:r>
              <w:t xml:space="preserve"> </w:t>
            </w:r>
            <w:r>
              <w:rPr>
                <w:rStyle w:val="VerbatimChar"/>
              </w:rPr>
              <w:t xml:space="preserve">/tmp/green-agent-demo-&lt;pid&gt;.sqlite</w:t>
            </w:r>
            <w:r>
              <w:t xml:space="preserve"> </w:t>
            </w:r>
            <w:r>
              <w:t xml:space="preserve">或</w:t>
            </w:r>
            <w:r>
              <w:t xml:space="preserve"> </w:t>
            </w:r>
            <w:r>
              <w:rPr>
                <w:rStyle w:val="VerbatimChar"/>
              </w:rPr>
              <w:t xml:space="preserve">GREEN_AGENT_DB_PATH</w:t>
            </w:r>
            <w:r>
              <w:t xml:space="preserve">；可切换</w:t>
            </w:r>
            <w:r>
              <w:t xml:space="preserve"> </w:t>
            </w:r>
            <w:r>
              <w:rPr>
                <w:rStyle w:val="VerbatimChar"/>
              </w:rPr>
              <w:t xml:space="preserve">GREEN_AGENT_DATABASE_URL</w:t>
            </w:r>
          </w:p>
        </w:tc>
      </w:tr>
    </w:tbl>
    <w:bookmarkEnd w:id="29"/>
    <w:bookmarkStart w:id="30" w:name="沟通管理"/>
    <w:p>
      <w:pPr>
        <w:pStyle w:val="Heading2"/>
      </w:pPr>
      <w:r>
        <w:rPr>
          <w:rStyle w:val="SectionNumber"/>
        </w:rPr>
        <w:t xml:space="preserve">1.11</w:t>
      </w:r>
      <w:r>
        <w:tab/>
      </w:r>
      <w:r>
        <w:t xml:space="preserve">沟通管理</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沟通内容</w:t>
            </w:r>
          </w:p>
        </w:tc>
        <w:tc>
          <w:tcPr/>
          <w:p>
            <w:pPr>
              <w:pStyle w:val="Compact"/>
              <w:jc w:val="left"/>
            </w:pPr>
            <w:r>
              <w:t xml:space="preserve">形式</w:t>
            </w:r>
          </w:p>
        </w:tc>
        <w:tc>
          <w:tcPr/>
          <w:p>
            <w:pPr>
              <w:pStyle w:val="Compact"/>
              <w:jc w:val="left"/>
            </w:pPr>
            <w:r>
              <w:t xml:space="preserve">频率</w:t>
            </w:r>
          </w:p>
        </w:tc>
      </w:tr>
      <w:tr>
        <w:tc>
          <w:tcPr/>
          <w:p>
            <w:pPr>
              <w:pStyle w:val="Compact"/>
              <w:jc w:val="left"/>
            </w:pPr>
            <w:r>
              <w:t xml:space="preserve">需求确认</w:t>
            </w:r>
          </w:p>
        </w:tc>
        <w:tc>
          <w:tcPr/>
          <w:p>
            <w:pPr>
              <w:pStyle w:val="Compact"/>
              <w:jc w:val="left"/>
            </w:pPr>
            <w:r>
              <w:t xml:space="preserve">OpenSpec 规格和评审讨论</w:t>
            </w:r>
          </w:p>
        </w:tc>
        <w:tc>
          <w:tcPr/>
          <w:p>
            <w:pPr>
              <w:pStyle w:val="Compact"/>
              <w:jc w:val="left"/>
            </w:pPr>
            <w:r>
              <w:t xml:space="preserve">每个功能开始前</w:t>
            </w:r>
          </w:p>
        </w:tc>
      </w:tr>
      <w:tr>
        <w:tc>
          <w:tcPr/>
          <w:p>
            <w:pPr>
              <w:pStyle w:val="Compact"/>
              <w:jc w:val="left"/>
            </w:pPr>
            <w:r>
              <w:t xml:space="preserve">开发进展</w:t>
            </w:r>
          </w:p>
        </w:tc>
        <w:tc>
          <w:tcPr/>
          <w:p>
            <w:pPr>
              <w:pStyle w:val="Compact"/>
              <w:jc w:val="left"/>
            </w:pPr>
            <w:r>
              <w:t xml:space="preserve">提交记录、测试结果、演示页面</w:t>
            </w:r>
          </w:p>
        </w:tc>
        <w:tc>
          <w:tcPr/>
          <w:p>
            <w:pPr>
              <w:pStyle w:val="Compact"/>
              <w:jc w:val="left"/>
            </w:pPr>
            <w:r>
              <w:t xml:space="preserve">每个迭代</w:t>
            </w:r>
          </w:p>
        </w:tc>
      </w:tr>
      <w:tr>
        <w:tc>
          <w:tcPr/>
          <w:p>
            <w:pPr>
              <w:pStyle w:val="Compact"/>
              <w:jc w:val="left"/>
            </w:pPr>
            <w:r>
              <w:t xml:space="preserve">缺陷反馈</w:t>
            </w:r>
          </w:p>
        </w:tc>
        <w:tc>
          <w:tcPr/>
          <w:p>
            <w:pPr>
              <w:pStyle w:val="Compact"/>
              <w:jc w:val="left"/>
            </w:pPr>
            <w:r>
              <w:t xml:space="preserve">测试失败信息和修复记录</w:t>
            </w:r>
          </w:p>
        </w:tc>
        <w:tc>
          <w:tcPr/>
          <w:p>
            <w:pPr>
              <w:pStyle w:val="Compact"/>
              <w:jc w:val="left"/>
            </w:pPr>
            <w:r>
              <w:t xml:space="preserve">随时</w:t>
            </w:r>
          </w:p>
        </w:tc>
      </w:tr>
      <w:tr>
        <w:tc>
          <w:tcPr/>
          <w:p>
            <w:pPr>
              <w:pStyle w:val="Compact"/>
              <w:jc w:val="left"/>
            </w:pPr>
            <w:r>
              <w:t xml:space="preserve">交付验收</w:t>
            </w:r>
          </w:p>
        </w:tc>
        <w:tc>
          <w:tcPr/>
          <w:p>
            <w:pPr>
              <w:pStyle w:val="Compact"/>
              <w:jc w:val="left"/>
            </w:pPr>
            <w:r>
              <w:t xml:space="preserve">Word 文档、README、演示流程</w:t>
            </w:r>
          </w:p>
        </w:tc>
        <w:tc>
          <w:tcPr/>
          <w:p>
            <w:pPr>
              <w:pStyle w:val="Compact"/>
              <w:jc w:val="left"/>
            </w:pPr>
            <w:r>
              <w:t xml:space="preserve">交付阶段</w:t>
            </w:r>
          </w:p>
        </w:tc>
      </w:tr>
    </w:tbl>
    <w:bookmarkEnd w:id="30"/>
    <w:bookmarkStart w:id="31" w:name="风险管理"/>
    <w:p>
      <w:pPr>
        <w:pStyle w:val="Heading2"/>
      </w:pPr>
      <w:r>
        <w:rPr>
          <w:rStyle w:val="SectionNumber"/>
        </w:rPr>
        <w:t xml:space="preserve">1.12</w:t>
      </w:r>
      <w:r>
        <w:tab/>
      </w:r>
      <w:r>
        <w:t xml:space="preserve">风险管理</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风险</w:t>
            </w:r>
          </w:p>
        </w:tc>
        <w:tc>
          <w:tcPr/>
          <w:p>
            <w:pPr>
              <w:pStyle w:val="Compact"/>
              <w:jc w:val="left"/>
            </w:pPr>
            <w:r>
              <w:t xml:space="preserve">影响</w:t>
            </w:r>
          </w:p>
        </w:tc>
        <w:tc>
          <w:tcPr/>
          <w:p>
            <w:pPr>
              <w:pStyle w:val="Compact"/>
              <w:jc w:val="left"/>
            </w:pPr>
            <w:r>
              <w:t xml:space="preserve">应对措施</w:t>
            </w:r>
          </w:p>
        </w:tc>
      </w:tr>
      <w:tr>
        <w:tc>
          <w:tcPr/>
          <w:p>
            <w:pPr>
              <w:pStyle w:val="Compact"/>
              <w:jc w:val="left"/>
            </w:pPr>
            <w:r>
              <w:t xml:space="preserve">MySQL 未启动或连接失败</w:t>
            </w:r>
          </w:p>
        </w:tc>
        <w:tc>
          <w:tcPr/>
          <w:p>
            <w:pPr>
              <w:pStyle w:val="Compact"/>
              <w:jc w:val="left"/>
            </w:pPr>
            <w:r>
              <w:t xml:space="preserve">历史记录无法持久化到 MySQL</w:t>
            </w:r>
          </w:p>
        </w:tc>
        <w:tc>
          <w:tcPr/>
          <w:p>
            <w:pPr>
              <w:pStyle w:val="Compact"/>
              <w:jc w:val="left"/>
            </w:pPr>
            <w:r>
              <w:t xml:space="preserve">默认提供 SQLite fallback；部署指南说明 Docker MySQL</w:t>
            </w:r>
          </w:p>
        </w:tc>
      </w:tr>
      <w:tr>
        <w:tc>
          <w:tcPr/>
          <w:p>
            <w:pPr>
              <w:pStyle w:val="Compact"/>
              <w:jc w:val="left"/>
            </w:pPr>
            <w:r>
              <w:t xml:space="preserve">地图瓦片网络不可用</w:t>
            </w:r>
          </w:p>
        </w:tc>
        <w:tc>
          <w:tcPr/>
          <w:p>
            <w:pPr>
              <w:pStyle w:val="Compact"/>
              <w:jc w:val="left"/>
            </w:pPr>
            <w:r>
              <w:t xml:space="preserve">Leaflet 背景加载失败</w:t>
            </w:r>
          </w:p>
        </w:tc>
        <w:tc>
          <w:tcPr/>
          <w:p>
            <w:pPr>
              <w:pStyle w:val="Compact"/>
              <w:jc w:val="left"/>
            </w:pPr>
            <w:r>
              <w:t xml:space="preserve">核心节点、边和路线仍由前端渲染；演示前检查网络</w:t>
            </w:r>
          </w:p>
        </w:tc>
      </w:tr>
      <w:tr>
        <w:tc>
          <w:tcPr/>
          <w:p>
            <w:pPr>
              <w:pStyle w:val="Compact"/>
              <w:jc w:val="left"/>
            </w:pPr>
            <w:r>
              <w:t xml:space="preserve">AI 助手配置缺失</w:t>
            </w:r>
          </w:p>
        </w:tc>
        <w:tc>
          <w:tcPr/>
          <w:p>
            <w:pPr>
              <w:pStyle w:val="Compact"/>
              <w:jc w:val="left"/>
            </w:pPr>
            <w:r>
              <w:t xml:space="preserve">AI 问答不可用</w:t>
            </w:r>
          </w:p>
        </w:tc>
        <w:tc>
          <w:tcPr/>
          <w:p>
            <w:pPr>
              <w:pStyle w:val="Compact"/>
              <w:jc w:val="left"/>
            </w:pPr>
            <w:r>
              <w:t xml:space="preserve">后端返回明确 503，基础规划功能不受影响</w:t>
            </w:r>
          </w:p>
        </w:tc>
      </w:tr>
      <w:tr>
        <w:tc>
          <w:tcPr/>
          <w:p>
            <w:pPr>
              <w:pStyle w:val="Compact"/>
              <w:jc w:val="left"/>
            </w:pPr>
            <w:r>
              <w:t xml:space="preserve">前端包体偏大</w:t>
            </w:r>
          </w:p>
        </w:tc>
        <w:tc>
          <w:tcPr/>
          <w:p>
            <w:pPr>
              <w:pStyle w:val="Compact"/>
              <w:jc w:val="left"/>
            </w:pPr>
            <w:r>
              <w:t xml:space="preserve">构建出现 chunk warning</w:t>
            </w:r>
          </w:p>
        </w:tc>
        <w:tc>
          <w:tcPr/>
          <w:p>
            <w:pPr>
              <w:pStyle w:val="Compact"/>
              <w:jc w:val="left"/>
            </w:pPr>
            <w:r>
              <w:t xml:space="preserve">后续可使用 dynamic import 或 manualChunks 优化</w:t>
            </w:r>
          </w:p>
        </w:tc>
      </w:tr>
      <w:tr>
        <w:tc>
          <w:tcPr/>
          <w:p>
            <w:pPr>
              <w:pStyle w:val="Compact"/>
              <w:jc w:val="left"/>
            </w:pPr>
            <w:r>
              <w:t xml:space="preserve">真实路网缺失</w:t>
            </w:r>
          </w:p>
        </w:tc>
        <w:tc>
          <w:tcPr/>
          <w:p>
            <w:pPr>
              <w:pStyle w:val="Compact"/>
              <w:jc w:val="left"/>
            </w:pPr>
            <w:r>
              <w:t xml:space="preserve">规划距离为抽象图距离</w:t>
            </w:r>
          </w:p>
        </w:tc>
        <w:tc>
          <w:tcPr/>
          <w:p>
            <w:pPr>
              <w:pStyle w:val="Compact"/>
              <w:jc w:val="left"/>
            </w:pPr>
            <w:r>
              <w:t xml:space="preserve">文档标明当前为实验系统，后续可接入 GIS</w:t>
            </w:r>
          </w:p>
        </w:tc>
      </w:tr>
    </w:tbl>
    <w:bookmarkEnd w:id="31"/>
    <w:bookmarkStart w:id="32" w:name="成本与资源"/>
    <w:p>
      <w:pPr>
        <w:pStyle w:val="Heading2"/>
      </w:pPr>
      <w:r>
        <w:rPr>
          <w:rStyle w:val="SectionNumber"/>
        </w:rPr>
        <w:t xml:space="preserve">1.13</w:t>
      </w:r>
      <w:r>
        <w:tab/>
      </w:r>
      <w:r>
        <w:t xml:space="preserve">成本与资源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资源</w:t>
            </w:r>
          </w:p>
        </w:tc>
        <w:tc>
          <w:tcPr/>
          <w:p>
            <w:pPr>
              <w:pStyle w:val="Compact"/>
              <w:jc w:val="left"/>
            </w:pPr>
            <w:r>
              <w:t xml:space="preserve">使用说明</w:t>
            </w:r>
          </w:p>
        </w:tc>
      </w:tr>
      <w:tr>
        <w:tc>
          <w:tcPr/>
          <w:p>
            <w:pPr>
              <w:pStyle w:val="Compact"/>
              <w:jc w:val="left"/>
            </w:pPr>
            <w:r>
              <w:t xml:space="preserve">开发机器</w:t>
            </w:r>
          </w:p>
        </w:tc>
        <w:tc>
          <w:tcPr/>
          <w:p>
            <w:pPr>
              <w:pStyle w:val="Compact"/>
              <w:jc w:val="left"/>
            </w:pPr>
            <w:r>
              <w:t xml:space="preserve">本地运行后端、前端和自动化测试</w:t>
            </w:r>
          </w:p>
        </w:tc>
      </w:tr>
      <w:tr>
        <w:tc>
          <w:tcPr/>
          <w:p>
            <w:pPr>
              <w:pStyle w:val="Compact"/>
              <w:jc w:val="left"/>
            </w:pPr>
            <w:r>
              <w:t xml:space="preserve">数据库</w:t>
            </w:r>
          </w:p>
        </w:tc>
        <w:tc>
          <w:tcPr/>
          <w:p>
            <w:pPr>
              <w:pStyle w:val="Compact"/>
              <w:jc w:val="left"/>
            </w:pPr>
            <w:r>
              <w:t xml:space="preserve">本地 SQLite 或 Docker MySQL 8.4</w:t>
            </w:r>
          </w:p>
        </w:tc>
      </w:tr>
      <w:tr>
        <w:tc>
          <w:tcPr/>
          <w:p>
            <w:pPr>
              <w:pStyle w:val="Compact"/>
              <w:jc w:val="left"/>
            </w:pPr>
            <w:r>
              <w:t xml:space="preserve">外部模型</w:t>
            </w:r>
          </w:p>
        </w:tc>
        <w:tc>
          <w:tcPr/>
          <w:p>
            <w:pPr>
              <w:pStyle w:val="Compact"/>
              <w:jc w:val="left"/>
            </w:pPr>
            <w:r>
              <w:t xml:space="preserve">OpenAI-compatible streaming API，可选</w:t>
            </w:r>
          </w:p>
        </w:tc>
      </w:tr>
      <w:tr>
        <w:tc>
          <w:tcPr/>
          <w:p>
            <w:pPr>
              <w:pStyle w:val="Compact"/>
              <w:jc w:val="left"/>
            </w:pPr>
            <w:r>
              <w:t xml:space="preserve">开源组件</w:t>
            </w:r>
          </w:p>
        </w:tc>
        <w:tc>
          <w:tcPr/>
          <w:p>
            <w:pPr>
              <w:pStyle w:val="Compact"/>
              <w:jc w:val="left"/>
            </w:pPr>
            <w:r>
              <w:t xml:space="preserve">FastAPI、LangGraph、NetworkX、React、Leaflet、Vite</w:t>
            </w:r>
          </w:p>
        </w:tc>
      </w:tr>
    </w:tbl>
    <w:bookmarkEnd w:id="32"/>
    <w:bookmarkStart w:id="33" w:name="验收与收尾"/>
    <w:p>
      <w:pPr>
        <w:pStyle w:val="Heading2"/>
      </w:pPr>
      <w:r>
        <w:rPr>
          <w:rStyle w:val="SectionNumber"/>
        </w:rPr>
        <w:t xml:space="preserve">1.14</w:t>
      </w:r>
      <w:r>
        <w:tab/>
      </w:r>
      <w:r>
        <w:t xml:space="preserve">验收与收尾</w:t>
      </w:r>
    </w:p>
    <w:p>
      <w:pPr>
        <w:pStyle w:val="FirstParagraph"/>
      </w:pPr>
      <w:r>
        <w:t xml:space="preserve">验收以可运行系统、自动化测试通过、生产构建通过和文档齐备为准。本次执行结果为：后端测试 33 passed，前端测试 30 passed，前端构建成功并产生一个包体体积警告。</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软件项目管理计划书</dc:title>
  <dc:creator>SE2026-12 绿运先锋项目组</dc:creator>
  <dc:language>zh-CN</dc:language>
  <cp:keywords/>
  <dcterms:created xsi:type="dcterms:W3CDTF">2026-06-21T05:48:27Z</dcterms:created>
  <dcterms:modified xsi:type="dcterms:W3CDTF">2026-06-21T05:48:27Z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2026-06-21</vt:lpwstr>
  </property>
</Properties>
</file>