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sz w:val="56"/>
          <w:szCs w:val="56"/>
        </w:rPr>
        <w:t xml:space="preserve">AI WasteWise</w:t>
      </w:r>
    </w:p>
    <w:p>
      <w:pPr>
        <w:spacing w:after="600"/>
        <w:jc w:val="center"/>
      </w:pPr>
      <w:r>
        <w:rPr>
          <w:i/>
          <w:iCs/>
          <w:sz w:val="26"/>
          <w:szCs w:val="26"/>
        </w:rPr>
        <w:t xml:space="preserve">AI-Powered Waste Classification, Disposal and Sustainability Decision-Support System</w:t>
      </w:r>
    </w:p>
    <w:p>
      <w:pPr>
        <w:spacing w:after="100"/>
        <w:jc w:val="center"/>
      </w:pPr>
      <w:r>
        <w:rPr>
          <w:b/>
          <w:bCs/>
          <w:sz w:val="24"/>
          <w:szCs w:val="24"/>
        </w:rPr>
        <w:t xml:space="preserve">Project Documentation</w:t>
      </w:r>
    </w:p>
    <w:p>
      <w:pPr>
        <w:jc w:val="center"/>
      </w:pPr>
      <w:r>
        <w:rPr>
          <w:sz w:val="22"/>
          <w:szCs w:val="22"/>
        </w:rPr>
        <w:t xml:space="preserve">1M1B AI for Sustainability Virtual Internship</w:t>
      </w:r>
    </w:p>
    <w:p>
      <w:pPr>
        <w:spacing w:after="100"/>
        <w:jc w:val="center"/>
      </w:pPr>
      <w:r>
        <w:rPr>
          <w:sz w:val="22"/>
          <w:szCs w:val="22"/>
        </w:rPr>
        <w:t xml:space="preserve">In collaboration with IBM SkillsBuild and AICTE</w:t>
      </w:r>
    </w:p>
    <w:p>
      <w:pPr>
        <w:spacing w:after="600"/>
        <w:jc w:val="center"/>
      </w:pPr>
      <w:r>
        <w:rPr>
          <w:b/>
          <w:bCs/>
          <w:sz w:val="22"/>
          <w:szCs w:val="22"/>
        </w:rPr>
        <w:t xml:space="preserve">SDG 12 — Responsible Consumption and Production</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Abstract</w:t>
      </w:r>
    </w:p>
    <w:p>
      <w:pPr>
        <w:spacing w:after="160"/>
      </w:pPr>
      <w:r>
        <w:t xml:space="preserve">AI WasteWise is a working prototype that helps users correctly identify, classify, and responsibly dispose of common waste items using multimodal AI, rule-based classification logic, and retrieval-augmented generation (RAG) grounded in real government waste-management guidelines. A user uploads a photo of a waste item; the system identifies the item, classifies it into a defined waste category, checks whether the image and classification are reliable enough to proceed, retrieves relevant passages from a knowledge base built from official Indian government sources, and generates a disposal recommendation that is explicitly grounded in those retrieved passages rather than the AI model's own unverified general knowledge.</w:t>
      </w:r>
    </w:p>
    <w:p>
      <w:pPr>
        <w:spacing w:after="160"/>
      </w:pPr>
      <w:r>
        <w:t xml:space="preserve">The system was built incrementally and tested at each stage with real data rather than assumed to work. As of this document, the core pipeline — image analysis, classification, RAG-grounded recommendation, a working web interface, and an anonymized analytics dashboard — is implemented, running, and demonstrated end-to-end. Testing across all planned waste categories is ongoing and honestly tracked; known limitations (knowledge base coverage gaps, API rate limits, and an image-vs-diagram detection gap) are documented rather than hidden.</w:t>
      </w:r>
    </w:p>
    <w:p>
      <w:pPr>
        <w:pStyle w:val="Heading1"/>
        <w:spacing w:after="160" w:before="360"/>
      </w:pPr>
      <w:r>
        <w:t xml:space="preserve">2. Problem Statement</w:t>
      </w:r>
    </w:p>
    <w:p>
      <w:pPr>
        <w:spacing w:after="160"/>
      </w:pPr>
      <w:r>
        <w:t xml:space="preserve">Households and individuals generate mixed waste daily but often lack clear, immediate knowledge of how a specific item should be sorted or disposed of. This contributes to contamination of recyclable streams, improper handling of hazardous items such as e-waste and batteries, and reduced resource recovery — directly undermining SDG 12 (Responsible Consumption and Production). Existing solutions are typically either static reference charts (not interactive, not item-specific) or general-purpose AI chatbots (not grounded in authoritative local waste-management rules, and prone to confidently incorrect answers).</w:t>
      </w:r>
    </w:p>
    <w:p>
      <w:pPr>
        <w:spacing w:after="160"/>
      </w:pPr>
      <w:r>
        <w:t xml:space="preserve">AI WasteWise addresses the gap between 'a photo of an item' and 'a trustworthy, sourced answer about what to do with it' — while being explicit about the limits of its own confidence.</w:t>
      </w:r>
    </w:p>
    <w:p>
      <w:pPr>
        <w:pStyle w:val="Heading1"/>
        <w:spacing w:after="160" w:before="360"/>
      </w:pPr>
      <w:r>
        <w:t xml:space="preserve">3. SDG Alignment</w:t>
      </w:r>
    </w:p>
    <w:p>
      <w:pPr>
        <w:spacing w:after="160"/>
      </w:pPr>
      <w:r>
        <w:t xml:space="preserve">This project aligns with SDG 12 — Responsible Consumption and Production, specifically Target 12.5 (substantially reduce waste generation through prevention, reduction, recycling, and reuse). By making correct waste segregation more accessible at the point of decision — the moment a person is holding an item and unsure what to do with it — the system supports the waste hierarchy (prevention &gt; reduction &gt; reuse &gt; recycling &gt; recovery &gt; disposal) referenced in India's Solid Waste Management Rules, 2026.</w:t>
      </w:r>
    </w:p>
    <w:p>
      <w:pPr>
        <w:pStyle w:val="Heading1"/>
        <w:spacing w:after="160" w:before="360"/>
      </w:pPr>
      <w:r>
        <w:t xml:space="preserve">4. Objectives</w:t>
      </w:r>
    </w:p>
    <w:p>
      <w:pPr>
        <w:pStyle w:val="ListParagraph"/>
        <w:numPr>
          <w:ilvl w:val="0"/>
          <w:numId w:val="1"/>
        </w:numPr>
        <w:spacing w:after="80"/>
      </w:pPr>
      <w:r>
        <w:t xml:space="preserve">Build a working prototype that classifies waste items from photos into defined categories, not just a conceptual design.</w:t>
      </w:r>
    </w:p>
    <w:p>
      <w:pPr>
        <w:pStyle w:val="ListParagraph"/>
        <w:numPr>
          <w:ilvl w:val="0"/>
          <w:numId w:val="1"/>
        </w:numPr>
        <w:spacing w:after="80"/>
      </w:pPr>
      <w:r>
        <w:t xml:space="preserve">Ground disposal recommendations in real, citable government knowledge sources via RAG, rather than unverified AI-generated advice.</w:t>
      </w:r>
    </w:p>
    <w:p>
      <w:pPr>
        <w:pStyle w:val="ListParagraph"/>
        <w:numPr>
          <w:ilvl w:val="0"/>
          <w:numId w:val="1"/>
        </w:numPr>
        <w:spacing w:after="80"/>
      </w:pPr>
      <w:r>
        <w:t xml:space="preserve">Detect and honestly communicate uncertainty — both in image analysis and in knowledge base coverage — rather than presenting all outputs as equally reliable.</w:t>
      </w:r>
    </w:p>
    <w:p>
      <w:pPr>
        <w:pStyle w:val="ListParagraph"/>
        <w:numPr>
          <w:ilvl w:val="0"/>
          <w:numId w:val="1"/>
        </w:numPr>
        <w:spacing w:after="80"/>
      </w:pPr>
      <w:r>
        <w:t xml:space="preserve">Demonstrate Responsible AI practices: fairness testing, transparency of sourcing, privacy-conscious data handling, and ethical safety in recommendations.</w:t>
      </w:r>
    </w:p>
    <w:p>
      <w:pPr>
        <w:pStyle w:val="ListParagraph"/>
        <w:numPr>
          <w:ilvl w:val="0"/>
          <w:numId w:val="1"/>
        </w:numPr>
        <w:spacing w:after="80"/>
      </w:pPr>
      <w:r>
        <w:t xml:space="preserve">Provide a simple, working interface that can be demonstrated live in an interview.</w:t>
      </w:r>
    </w:p>
    <w:p>
      <w:pPr>
        <w:pStyle w:val="ListParagraph"/>
        <w:numPr>
          <w:ilvl w:val="0"/>
          <w:numId w:val="1"/>
        </w:numPr>
        <w:spacing w:after="80"/>
      </w:pPr>
      <w:r>
        <w:t xml:space="preserve">Maintain honest documentation — measured results and disclosed limitations, not claimed capabilities that haven't been verified.</w:t>
      </w:r>
    </w:p>
    <w:p>
      <w:pPr>
        <w:pStyle w:val="Heading1"/>
        <w:spacing w:after="160" w:before="360"/>
      </w:pPr>
      <w:r>
        <w:t xml:space="preserve">5. Existing Problem (Current State)</w:t>
      </w:r>
    </w:p>
    <w:p>
      <w:pPr>
        <w:spacing w:after="160"/>
      </w:pPr>
      <w:r>
        <w:t xml:space="preserve">Municipal and household waste segregation in India is governed by the Solid Waste Management Rules, 2026 (effective April 2026), which define four generator-level streams: wet waste, dry waste, sanitary waste, and special care waste. In practice, compliance depends on individual households correctly identifying which stream an item belongs to — a task complicated by mixed-material packaging, regional variation in facilities, and limited public awareness of category boundaries. Static posters and rule documents exist, but nothing interactive helps a person standing in front of an ambiguous item make an informed, sourced decision in the moment.</w:t>
      </w:r>
    </w:p>
    <w:p>
      <w:pPr>
        <w:pStyle w:val="Heading1"/>
        <w:spacing w:after="160" w:before="360"/>
      </w:pPr>
      <w:r>
        <w:t xml:space="preserve">6. Proposed Solution</w:t>
      </w:r>
    </w:p>
    <w:p>
      <w:pPr>
        <w:spacing w:after="160"/>
      </w:pPr>
      <w:r>
        <w:t xml:space="preserve">AI WasteWise combines three AI/engineering components into one pipeline:</w:t>
      </w:r>
    </w:p>
    <w:p>
      <w:pPr>
        <w:pStyle w:val="ListParagraph"/>
        <w:numPr>
          <w:ilvl w:val="0"/>
          <w:numId w:val="1"/>
        </w:numPr>
        <w:spacing w:after="80"/>
      </w:pPr>
      <w:r>
        <w:t xml:space="preserve">Multimodal image analysis (Google Gemini) to identify the item, its likely material, and whether the image itself is reliable enough to classify confidently.</w:t>
      </w:r>
    </w:p>
    <w:p>
      <w:pPr>
        <w:pStyle w:val="ListParagraph"/>
        <w:numPr>
          <w:ilvl w:val="0"/>
          <w:numId w:val="1"/>
        </w:numPr>
        <w:spacing w:after="80"/>
      </w:pPr>
      <w:r>
        <w:t xml:space="preserve">Rule-based classification logic that maps identified materials to defined waste categories through an explicit, inspectable table — not an opaque model decision.</w:t>
      </w:r>
    </w:p>
    <w:p>
      <w:pPr>
        <w:pStyle w:val="ListParagraph"/>
        <w:numPr>
          <w:ilvl w:val="0"/>
          <w:numId w:val="1"/>
        </w:numPr>
        <w:spacing w:after="80"/>
      </w:pPr>
      <w:r>
        <w:t xml:space="preserve">Retrieval-Augmented Generation (RAG), grounded in real Indian government waste-management documents, to produce a disposal recommendation with cited sources — and to honestly flag when the knowledge base does not cover a given item.</w:t>
      </w:r>
    </w:p>
    <w:p>
      <w:pPr>
        <w:pStyle w:val="Heading1"/>
        <w:spacing w:after="160" w:before="360"/>
      </w:pPr>
      <w:r>
        <w:t xml:space="preserve">7. System Architecture</w:t>
      </w:r>
    </w:p>
    <w:p>
      <w:pPr>
        <w:spacing w:after="160"/>
      </w:pPr>
      <w:r>
        <w:t xml:space="preserve">The system is composed of independently running services that communicate over HTTP, reflecting a real (if intentionally simple) full-stack architecture: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00"/>
      </w:tblGrid>
      <w:tr>
        <w:tc>
          <w:tcPr>
            <w:tcW w:type="dxa" w:w="900"/>
            <w:shd w:fill="E8E4D8" w:val="clear"/>
          </w:tcPr>
          <w:p>
            <w:r>
              <w:rPr>
                <w:b/>
                <w:bCs/>
                <w:sz w:val="20"/>
                <w:szCs w:val="20"/>
              </w:rPr>
              <w:t xml:space="preserve">Stage</w:t>
            </w:r>
          </w:p>
        </w:tc>
        <w:tc>
          <w:tcPr>
            <w:tcW w:type="dxa" w:w="2800"/>
            <w:shd w:fill="E8E4D8" w:val="clear"/>
          </w:tcPr>
          <w:p>
            <w:r>
              <w:rPr>
                <w:b/>
                <w:bCs/>
                <w:sz w:val="20"/>
                <w:szCs w:val="20"/>
              </w:rPr>
              <w:t xml:space="preserve">Component</w:t>
            </w:r>
          </w:p>
        </w:tc>
        <w:tc>
          <w:tcPr>
            <w:tcW w:type="dxa" w:w="5600"/>
            <w:shd w:fill="E8E4D8" w:val="clear"/>
          </w:tcPr>
          <w:p>
            <w:r>
              <w:rPr>
                <w:b/>
                <w:bCs/>
                <w:sz w:val="20"/>
                <w:szCs w:val="20"/>
              </w:rPr>
              <w:t xml:space="preserve">Responsibility</w:t>
            </w:r>
          </w:p>
        </w:tc>
      </w:tr>
      <w:tr>
        <w:tc>
          <w:tcPr>
            <w:tcW w:type="dxa" w:w="900"/>
          </w:tcPr>
          <w:p>
            <w:r>
              <w:rPr>
                <w:b w:val="false"/>
                <w:bCs w:val="false"/>
                <w:sz w:val="20"/>
                <w:szCs w:val="20"/>
              </w:rPr>
              <w:t xml:space="preserve">1</w:t>
            </w:r>
          </w:p>
        </w:tc>
        <w:tc>
          <w:tcPr>
            <w:tcW w:type="dxa" w:w="2800"/>
          </w:tcPr>
          <w:p>
            <w:r>
              <w:rPr>
                <w:b w:val="false"/>
                <w:bCs w:val="false"/>
                <w:sz w:val="20"/>
                <w:szCs w:val="20"/>
              </w:rPr>
              <w:t xml:space="preserve">Frontend (React + Vite)</w:t>
            </w:r>
          </w:p>
        </w:tc>
        <w:tc>
          <w:tcPr>
            <w:tcW w:type="dxa" w:w="5600"/>
          </w:tcPr>
          <w:p>
            <w:r>
              <w:rPr>
                <w:b w:val="false"/>
                <w:bCs w:val="false"/>
                <w:sz w:val="20"/>
                <w:szCs w:val="20"/>
              </w:rPr>
              <w:t xml:space="preserve">Image upload, preview, results display</w:t>
            </w:r>
          </w:p>
        </w:tc>
      </w:tr>
      <w:tr>
        <w:tc>
          <w:tcPr>
            <w:tcW w:type="dxa" w:w="900"/>
          </w:tcPr>
          <w:p>
            <w:r>
              <w:rPr>
                <w:b w:val="false"/>
                <w:bCs w:val="false"/>
                <w:sz w:val="20"/>
                <w:szCs w:val="20"/>
              </w:rPr>
              <w:t xml:space="preserve">2</w:t>
            </w:r>
          </w:p>
        </w:tc>
        <w:tc>
          <w:tcPr>
            <w:tcW w:type="dxa" w:w="2800"/>
          </w:tcPr>
          <w:p>
            <w:r>
              <w:rPr>
                <w:b w:val="false"/>
                <w:bCs w:val="false"/>
                <w:sz w:val="20"/>
                <w:szCs w:val="20"/>
              </w:rPr>
              <w:t xml:space="preserve">Backend API (FastAPI)</w:t>
            </w:r>
          </w:p>
        </w:tc>
        <w:tc>
          <w:tcPr>
            <w:tcW w:type="dxa" w:w="5600"/>
          </w:tcPr>
          <w:p>
            <w:r>
              <w:rPr>
                <w:b w:val="false"/>
                <w:bCs w:val="false"/>
                <w:sz w:val="20"/>
                <w:szCs w:val="20"/>
              </w:rPr>
              <w:t xml:space="preserve">Orchestrates the pipeline below behind one POST /analyze endpoint</w:t>
            </w:r>
          </w:p>
        </w:tc>
      </w:tr>
      <w:tr>
        <w:tc>
          <w:tcPr>
            <w:tcW w:type="dxa" w:w="900"/>
          </w:tcPr>
          <w:p>
            <w:r>
              <w:rPr>
                <w:b w:val="false"/>
                <w:bCs w:val="false"/>
                <w:sz w:val="20"/>
                <w:szCs w:val="20"/>
              </w:rPr>
              <w:t xml:space="preserve">3</w:t>
            </w:r>
          </w:p>
        </w:tc>
        <w:tc>
          <w:tcPr>
            <w:tcW w:type="dxa" w:w="2800"/>
          </w:tcPr>
          <w:p>
            <w:r>
              <w:rPr>
                <w:b w:val="false"/>
                <w:bCs w:val="false"/>
                <w:sz w:val="20"/>
                <w:szCs w:val="20"/>
              </w:rPr>
              <w:t xml:space="preserve">Multimodal Analysis</w:t>
            </w:r>
          </w:p>
        </w:tc>
        <w:tc>
          <w:tcPr>
            <w:tcW w:type="dxa" w:w="5600"/>
          </w:tcPr>
          <w:p>
            <w:r>
              <w:rPr>
                <w:b w:val="false"/>
                <w:bCs w:val="false"/>
                <w:sz w:val="20"/>
                <w:szCs w:val="20"/>
              </w:rPr>
              <w:t xml:space="preserve">Gemini vision call: identifies object, material, image clarity, multi-object flag</w:t>
            </w:r>
          </w:p>
        </w:tc>
      </w:tr>
      <w:tr>
        <w:tc>
          <w:tcPr>
            <w:tcW w:type="dxa" w:w="900"/>
          </w:tcPr>
          <w:p>
            <w:r>
              <w:rPr>
                <w:b w:val="false"/>
                <w:bCs w:val="false"/>
                <w:sz w:val="20"/>
                <w:szCs w:val="20"/>
              </w:rPr>
              <w:t xml:space="preserve">4</w:t>
            </w:r>
          </w:p>
        </w:tc>
        <w:tc>
          <w:tcPr>
            <w:tcW w:type="dxa" w:w="2800"/>
          </w:tcPr>
          <w:p>
            <w:r>
              <w:rPr>
                <w:b w:val="false"/>
                <w:bCs w:val="false"/>
                <w:sz w:val="20"/>
                <w:szCs w:val="20"/>
              </w:rPr>
              <w:t xml:space="preserve">Classification Logic</w:t>
            </w:r>
          </w:p>
        </w:tc>
        <w:tc>
          <w:tcPr>
            <w:tcW w:type="dxa" w:w="5600"/>
          </w:tcPr>
          <w:p>
            <w:r>
              <w:rPr>
                <w:b w:val="false"/>
                <w:bCs w:val="false"/>
                <w:sz w:val="20"/>
                <w:szCs w:val="20"/>
              </w:rPr>
              <w:t xml:space="preserve">Rule-based mapping from material → waste category; hard-gates unclear images to “Uncertain”</w:t>
            </w:r>
          </w:p>
        </w:tc>
      </w:tr>
      <w:tr>
        <w:tc>
          <w:tcPr>
            <w:tcW w:type="dxa" w:w="900"/>
          </w:tcPr>
          <w:p>
            <w:r>
              <w:rPr>
                <w:b w:val="false"/>
                <w:bCs w:val="false"/>
                <w:sz w:val="20"/>
                <w:szCs w:val="20"/>
              </w:rPr>
              <w:t xml:space="preserve">5</w:t>
            </w:r>
          </w:p>
        </w:tc>
        <w:tc>
          <w:tcPr>
            <w:tcW w:type="dxa" w:w="2800"/>
          </w:tcPr>
          <w:p>
            <w:r>
              <w:rPr>
                <w:b w:val="false"/>
                <w:bCs w:val="false"/>
                <w:sz w:val="20"/>
                <w:szCs w:val="20"/>
              </w:rPr>
              <w:t xml:space="preserve">RAG Retrieval</w:t>
            </w:r>
          </w:p>
        </w:tc>
        <w:tc>
          <w:tcPr>
            <w:tcW w:type="dxa" w:w="5600"/>
          </w:tcPr>
          <w:p>
            <w:r>
              <w:rPr>
                <w:b w:val="false"/>
                <w:bCs w:val="false"/>
                <w:sz w:val="20"/>
                <w:szCs w:val="20"/>
              </w:rPr>
              <w:t xml:space="preserve">Embeds a query, retrieves top-k relevant chunks from a Chroma vector store</w:t>
            </w:r>
          </w:p>
        </w:tc>
      </w:tr>
      <w:tr>
        <w:tc>
          <w:tcPr>
            <w:tcW w:type="dxa" w:w="900"/>
          </w:tcPr>
          <w:p>
            <w:r>
              <w:rPr>
                <w:b w:val="false"/>
                <w:bCs w:val="false"/>
                <w:sz w:val="20"/>
                <w:szCs w:val="20"/>
              </w:rPr>
              <w:t xml:space="preserve">6</w:t>
            </w:r>
          </w:p>
        </w:tc>
        <w:tc>
          <w:tcPr>
            <w:tcW w:type="dxa" w:w="2800"/>
          </w:tcPr>
          <w:p>
            <w:r>
              <w:rPr>
                <w:b w:val="false"/>
                <w:bCs w:val="false"/>
                <w:sz w:val="20"/>
                <w:szCs w:val="20"/>
              </w:rPr>
              <w:t xml:space="preserve">Grounded Generation</w:t>
            </w:r>
          </w:p>
        </w:tc>
        <w:tc>
          <w:tcPr>
            <w:tcW w:type="dxa" w:w="5600"/>
          </w:tcPr>
          <w:p>
            <w:r>
              <w:rPr>
                <w:b w:val="false"/>
                <w:bCs w:val="false"/>
                <w:sz w:val="20"/>
                <w:szCs w:val="20"/>
              </w:rPr>
              <w:t xml:space="preserve">Gemini composes the final recommendation using only retrieved passages</w:t>
            </w:r>
          </w:p>
        </w:tc>
      </w:tr>
      <w:tr>
        <w:tc>
          <w:tcPr>
            <w:tcW w:type="dxa" w:w="900"/>
          </w:tcPr>
          <w:p>
            <w:r>
              <w:rPr>
                <w:b w:val="false"/>
                <w:bCs w:val="false"/>
                <w:sz w:val="20"/>
                <w:szCs w:val="20"/>
              </w:rPr>
              <w:t xml:space="preserve">7</w:t>
            </w:r>
          </w:p>
        </w:tc>
        <w:tc>
          <w:tcPr>
            <w:tcW w:type="dxa" w:w="2800"/>
          </w:tcPr>
          <w:p>
            <w:r>
              <w:rPr>
                <w:b w:val="false"/>
                <w:bCs w:val="false"/>
                <w:sz w:val="20"/>
                <w:szCs w:val="20"/>
              </w:rPr>
              <w:t xml:space="preserve">Analytics Storage</w:t>
            </w:r>
          </w:p>
        </w:tc>
        <w:tc>
          <w:tcPr>
            <w:tcW w:type="dxa" w:w="5600"/>
          </w:tcPr>
          <w:p>
            <w:r>
              <w:rPr>
                <w:b w:val="false"/>
                <w:bCs w:val="false"/>
                <w:sz w:val="20"/>
                <w:szCs w:val="20"/>
              </w:rPr>
              <w:t xml:space="preserve">Anonymized result logged to SQLite — no images, no personal data</w:t>
            </w:r>
          </w:p>
        </w:tc>
      </w:tr>
      <w:tr>
        <w:tc>
          <w:tcPr>
            <w:tcW w:type="dxa" w:w="900"/>
          </w:tcPr>
          <w:p>
            <w:r>
              <w:rPr>
                <w:b w:val="false"/>
                <w:bCs w:val="false"/>
                <w:sz w:val="20"/>
                <w:szCs w:val="20"/>
              </w:rPr>
              <w:t xml:space="preserve">8</w:t>
            </w:r>
          </w:p>
        </w:tc>
        <w:tc>
          <w:tcPr>
            <w:tcW w:type="dxa" w:w="2800"/>
          </w:tcPr>
          <w:p>
            <w:r>
              <w:rPr>
                <w:b w:val="false"/>
                <w:bCs w:val="false"/>
                <w:sz w:val="20"/>
                <w:szCs w:val="20"/>
              </w:rPr>
              <w:t xml:space="preserve">Analytics Dashboard</w:t>
            </w:r>
          </w:p>
        </w:tc>
        <w:tc>
          <w:tcPr>
            <w:tcW w:type="dxa" w:w="5600"/>
          </w:tcPr>
          <w:p>
            <w:r>
              <w:rPr>
                <w:b w:val="false"/>
                <w:bCs w:val="false"/>
                <w:sz w:val="20"/>
                <w:szCs w:val="20"/>
              </w:rPr>
              <w:t xml:space="preserve">Streamlit app reading real aggregate stats from the same database</w:t>
            </w:r>
          </w:p>
        </w:tc>
      </w:tr>
    </w:tbl>
    <w:p>
      <w:pPr>
        <w:spacing w:after="200"/>
      </w:pPr>
    </w:p>
    <w:p>
      <w:pPr>
        <w:spacing w:after="160"/>
      </w:pPr>
      <w:r>
        <w:t xml:space="preserve">This is not a single monolithic script — it is a genuine multi-service architecture (three separate long-running processes during development: backend, frontend, analytics dashboard), chosen deliberately to mirror how a production AI application is actually structured, while staying simple enough to run entirely on a personal laptop for a live demo.</w:t>
      </w:r>
    </w:p>
    <w:p>
      <w:pPr>
        <w:pStyle w:val="Heading1"/>
        <w:spacing w:after="160" w:before="360"/>
      </w:pPr>
      <w:r>
        <w:t xml:space="preserve">8. End-to-End Workflow</w:t>
      </w:r>
    </w:p>
    <w:p>
      <w:pPr>
        <w:pStyle w:val="ListParagraph"/>
        <w:numPr>
          <w:ilvl w:val="0"/>
          <w:numId w:val="1"/>
        </w:numPr>
        <w:spacing w:after="80"/>
      </w:pPr>
      <w:r>
        <w:t xml:space="preserve">User uploads a waste item image via the frontend.</w:t>
      </w:r>
    </w:p>
    <w:p>
      <w:pPr>
        <w:pStyle w:val="ListParagraph"/>
        <w:numPr>
          <w:ilvl w:val="0"/>
          <w:numId w:val="1"/>
        </w:numPr>
        <w:spacing w:after="80"/>
      </w:pPr>
      <w:r>
        <w:t xml:space="preserve">Backend validates the file and forwards the image to the multimodal analysis step.</w:t>
      </w:r>
    </w:p>
    <w:p>
      <w:pPr>
        <w:pStyle w:val="ListParagraph"/>
        <w:numPr>
          <w:ilvl w:val="0"/>
          <w:numId w:val="1"/>
        </w:numPr>
        <w:spacing w:after="80"/>
      </w:pPr>
      <w:r>
        <w:t xml:space="preserve">Multimodal analysis returns: detected object, visible material, an image-clarity signal, and a multi-object flag — with explicit instructions to the model not to guess confidently on unclear images.</w:t>
      </w:r>
    </w:p>
    <w:p>
      <w:pPr>
        <w:pStyle w:val="ListParagraph"/>
        <w:numPr>
          <w:ilvl w:val="0"/>
          <w:numId w:val="1"/>
        </w:numPr>
        <w:spacing w:after="80"/>
      </w:pPr>
      <w:r>
        <w:t xml:space="preserve">Classification logic applies three rules in order: (1) an unclear image is hard-routed to “Uncertain,” skipping classification entirely; (2) multiple detected objects are classified individually via a second, narrower model call; (3) a single clear object is mapped to its category via a fixed lookup table.</w:t>
      </w:r>
    </w:p>
    <w:p>
      <w:pPr>
        <w:pStyle w:val="ListParagraph"/>
        <w:numPr>
          <w:ilvl w:val="0"/>
          <w:numId w:val="1"/>
        </w:numPr>
        <w:spacing w:after="80"/>
      </w:pPr>
      <w:r>
        <w:t xml:space="preserve">For each classified item, a RAG query retrieves the most relevant passages from the knowledge base and generates a recommendation grounded only in those passages.</w:t>
      </w:r>
    </w:p>
    <w:p>
      <w:pPr>
        <w:pStyle w:val="ListParagraph"/>
        <w:numPr>
          <w:ilvl w:val="0"/>
          <w:numId w:val="1"/>
        </w:numPr>
        <w:spacing w:after="80"/>
      </w:pPr>
      <w:r>
        <w:t xml:space="preserve">The frontend renders: detected item, waste category, recommended action, explanation, sustainability impact, and the exact source documents used — with a visible flag when a recommendation was not fully grounded.</w:t>
      </w:r>
    </w:p>
    <w:p>
      <w:pPr>
        <w:pStyle w:val="ListParagraph"/>
        <w:numPr>
          <w:ilvl w:val="0"/>
          <w:numId w:val="1"/>
        </w:numPr>
        <w:spacing w:after="80"/>
      </w:pPr>
      <w:r>
        <w:t xml:space="preserve">The backend logs an anonymized record of the result (item name, category, grounded/uncertain flags, timestamp) for the analytics dashboard.</w:t>
      </w:r>
    </w:p>
    <w:p>
      <w:pPr>
        <w:pStyle w:val="Heading1"/>
        <w:spacing w:after="160" w:before="360"/>
      </w:pPr>
      <w:r>
        <w:t xml:space="preserve">9. AI Methodology</w:t>
      </w:r>
    </w:p>
    <w:p>
      <w:pPr>
        <w:pStyle w:val="Heading2"/>
        <w:spacing w:after="120" w:before="240"/>
      </w:pPr>
      <w:r>
        <w:t xml:space="preserve">9.1 Why an existing multimodal model, not a model trained from scratch</w:t>
      </w:r>
    </w:p>
    <w:p>
      <w:pPr>
        <w:spacing w:after="160"/>
      </w:pPr>
      <w:r>
        <w:t xml:space="preserve">The system uses Google's Gemini API (a pre-trained multimodal model) rather than training a custom vision model from scratch. This was a deliberate, informed decision: training a comparably capable model would require a large labeled waste-image dataset, significant compute, and would likely still underperform a foundation model trained on vastly more data. The engineering value in this project lies in integration, prompt design, grounding, and evaluation — not in training a foundation model, which is standard practice for applied AI projects at this scale. A small custom-trained classifier is scoped as a future/bonus addition (see Future Scope), not a replacement for this approach.</w:t>
      </w:r>
    </w:p>
    <w:p>
      <w:pPr>
        <w:pStyle w:val="Heading2"/>
        <w:spacing w:after="120" w:before="240"/>
      </w:pPr>
      <w:r>
        <w:t xml:space="preserve">9.2 Multimodal Image Analysis</w:t>
      </w:r>
    </w:p>
    <w:p>
      <w:pPr>
        <w:spacing w:after="160"/>
      </w:pPr>
      <w:r>
        <w:t xml:space="preserve">The system prompts Gemini with an explicit instruction not to guess confidently: it must report the detected object, likely material, an honest clarity judgment, whether multiple objects are present, and a self-reported confidence signal, with a required uncertainty explanation whenever the image is ambiguous.</w:t>
      </w:r>
    </w:p>
    <w:p>
      <w:pPr>
        <w:pStyle w:val="Heading2"/>
        <w:spacing w:after="120" w:before="240"/>
      </w:pPr>
      <w:r>
        <w:t xml:space="preserve">9.3 Classification Logic</w:t>
      </w:r>
    </w:p>
    <w:p>
      <w:pPr>
        <w:spacing w:after="160"/>
      </w:pPr>
      <w:r>
        <w:t xml:space="preserve">Rather than asking the model to output a waste category directly, classification is done through an explicit, fixed mapping table (material → category). This was a deliberate transparency and testability decision: every classification can be traced to one rule, rather than an unexplainable model judgment. Materials not covered by the table (or explicitly “unclear”) fall through to “Uncertain/Needs Verification” rather than being guessed.</w:t>
      </w:r>
    </w:p>
    <w:p>
      <w:pPr>
        <w:pStyle w:val="Heading1"/>
        <w:spacing w:after="160" w:before="360"/>
      </w:pPr>
      <w:r>
        <w:t xml:space="preserve">10. RAG Methodology</w:t>
      </w:r>
    </w:p>
    <w:p>
      <w:pPr>
        <w:pStyle w:val="Heading2"/>
        <w:spacing w:after="120" w:before="240"/>
      </w:pPr>
      <w:r>
        <w:t xml:space="preserve">10.1 Knowledge Base Sources</w:t>
      </w:r>
    </w:p>
    <w:p>
      <w:pPr>
        <w:spacing w:after="160"/>
      </w:pPr>
      <w:r>
        <w:t xml:space="preserve">The knowledge base is built from three real, official Indian government documents, not invented or scraped content:</w:t>
      </w:r>
    </w:p>
    <w:p>
      <w:pPr>
        <w:pStyle w:val="ListParagraph"/>
        <w:numPr>
          <w:ilvl w:val="0"/>
          <w:numId w:val="1"/>
        </w:numPr>
        <w:spacing w:after="80"/>
      </w:pPr>
      <w:r>
        <w:t xml:space="preserve">Solid Waste Management Rules, 2026 (Ministry of Environment, Forest and Climate Change) — defines the wet/dry/sanitary/special-care waste segregation categories and generator duties.</w:t>
      </w:r>
    </w:p>
    <w:p>
      <w:pPr>
        <w:pStyle w:val="ListParagraph"/>
        <w:numPr>
          <w:ilvl w:val="0"/>
          <w:numId w:val="1"/>
        </w:numPr>
        <w:spacing w:after="80"/>
      </w:pPr>
      <w:r>
        <w:t xml:space="preserve">CPCB Consolidated Guidelines for Segregation, Collection and Disposal of Plastic Waste — plastic types, do's and don'ts, disposal technologies.</w:t>
      </w:r>
    </w:p>
    <w:p>
      <w:pPr>
        <w:pStyle w:val="ListParagraph"/>
        <w:numPr>
          <w:ilvl w:val="0"/>
          <w:numId w:val="1"/>
        </w:numPr>
        <w:spacing w:after="80"/>
      </w:pPr>
      <w:r>
        <w:t xml:space="preserve">CPCB Guidelines for Disposal of Legacy Waste (Bio-mining/Bio-remediation) — background context on segregation and recyclables recovery.</w:t>
      </w:r>
    </w:p>
    <w:p>
      <w:pPr>
        <w:pStyle w:val="Heading2"/>
        <w:spacing w:after="120" w:before="240"/>
      </w:pPr>
      <w:r>
        <w:t xml:space="preserve">10.2 Chunking</w:t>
      </w:r>
    </w:p>
    <w:p>
      <w:pPr>
        <w:spacing w:after="160"/>
      </w:pPr>
      <w:r>
        <w:t xml:space="preserve">Each source document is split on paragraph boundaries and grouped into chunks of roughly 800 characters, with a 150-character overlap between consecutive chunks so that context is not lost at a chunk boundary. This is a simple, explainable strategy appropriate for a knowledge base of this size.</w:t>
      </w:r>
    </w:p>
    <w:p>
      <w:pPr>
        <w:pStyle w:val="Heading2"/>
        <w:spacing w:after="120" w:before="240"/>
      </w:pPr>
      <w:r>
        <w:t xml:space="preserve">10.3 Embeddings and Storage</w:t>
      </w:r>
    </w:p>
    <w:p>
      <w:pPr>
        <w:spacing w:after="160"/>
      </w:pPr>
      <w:r>
        <w:t xml:space="preserve">Each chunk is embedded using Gemini's embedding model (gemini-embedding-001) and stored in a local Chroma vector database, alongside its source filename as metadata.</w:t>
      </w:r>
    </w:p>
    <w:p>
      <w:pPr>
        <w:pStyle w:val="Heading2"/>
        <w:spacing w:after="120" w:before="240"/>
      </w:pPr>
      <w:r>
        <w:t xml:space="preserve">10.4 Retrieval</w:t>
      </w:r>
    </w:p>
    <w:p>
      <w:pPr>
        <w:spacing w:after="160"/>
      </w:pPr>
      <w:r>
        <w:t xml:space="preserve">At query time, a query string built from the item's name, material, and category is embedded and used to retrieve the top 4 most similar chunks from the vector store.</w:t>
      </w:r>
    </w:p>
    <w:p>
      <w:pPr>
        <w:pStyle w:val="Heading2"/>
        <w:spacing w:after="120" w:before="240"/>
      </w:pPr>
      <w:r>
        <w:t xml:space="preserve">10.5 Grounded Generation</w:t>
      </w:r>
    </w:p>
    <w:p>
      <w:pPr>
        <w:spacing w:after="160"/>
      </w:pPr>
      <w:r>
        <w:t xml:space="preserve">The retrieved chunks are passed to Gemini with an explicit instruction: use only the provided passages to answer, and if they do not fully cover the item, say so plainly rather than filling the gap with unsourced general knowledge. The model's response includes a grounded_in_sources boolean and a coverage_note field, which the frontend surfaces directly to the user.</w:t>
      </w:r>
    </w:p>
    <w:p>
      <w:pPr>
        <w:pStyle w:val="Heading2"/>
        <w:spacing w:after="120" w:before="240"/>
      </w:pPr>
      <w:r>
        <w:t xml:space="preserve">10.6 Source Display</w:t>
      </w:r>
    </w:p>
    <w:p>
      <w:pPr>
        <w:spacing w:after="160"/>
      </w:pPr>
      <w:r>
        <w:t xml:space="preserve">Every recommendation shown to the user lists the exact source document filenames that were retrieved and used — satisfying the project's requirement to show a relevant source/reference alongside every recommendation.</w:t>
      </w:r>
    </w:p>
    <w:p>
      <w:pPr>
        <w:pStyle w:val="Heading1"/>
        <w:spacing w:after="160" w:before="360"/>
      </w:pPr>
      <w:r>
        <w:t xml:space="preserve">11. Technology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00"/>
      </w:tblGrid>
      <w:tr>
        <w:tc>
          <w:tcPr>
            <w:tcW w:type="dxa" w:w="1600"/>
            <w:shd w:fill="E8E4D8" w:val="clear"/>
          </w:tcPr>
          <w:p>
            <w:r>
              <w:rPr>
                <w:b/>
                <w:bCs/>
                <w:sz w:val="20"/>
                <w:szCs w:val="20"/>
              </w:rPr>
              <w:t xml:space="preserve">Layer</w:t>
            </w:r>
          </w:p>
        </w:tc>
        <w:tc>
          <w:tcPr>
            <w:tcW w:type="dxa" w:w="3400"/>
            <w:shd w:fill="E8E4D8" w:val="clear"/>
          </w:tcPr>
          <w:p>
            <w:r>
              <w:rPr>
                <w:b/>
                <w:bCs/>
                <w:sz w:val="20"/>
                <w:szCs w:val="20"/>
              </w:rPr>
              <w:t xml:space="preserve">Technology</w:t>
            </w:r>
          </w:p>
        </w:tc>
        <w:tc>
          <w:tcPr>
            <w:tcW w:type="dxa" w:w="4300"/>
            <w:shd w:fill="E8E4D8" w:val="clear"/>
          </w:tcPr>
          <w:p>
            <w:r>
              <w:rPr>
                <w:b/>
                <w:bCs/>
                <w:sz w:val="20"/>
                <w:szCs w:val="20"/>
              </w:rPr>
              <w:t xml:space="preserve">Why</w:t>
            </w:r>
          </w:p>
        </w:tc>
      </w:tr>
      <w:tr>
        <w:tc>
          <w:tcPr>
            <w:tcW w:type="dxa" w:w="1600"/>
          </w:tcPr>
          <w:p>
            <w:r>
              <w:rPr>
                <w:b w:val="false"/>
                <w:bCs w:val="false"/>
                <w:sz w:val="20"/>
                <w:szCs w:val="20"/>
              </w:rPr>
              <w:t xml:space="preserve">Frontend</w:t>
            </w:r>
          </w:p>
        </w:tc>
        <w:tc>
          <w:tcPr>
            <w:tcW w:type="dxa" w:w="3400"/>
          </w:tcPr>
          <w:p>
            <w:r>
              <w:rPr>
                <w:b w:val="false"/>
                <w:bCs w:val="false"/>
                <w:sz w:val="20"/>
                <w:szCs w:val="20"/>
              </w:rPr>
              <w:t xml:space="preserve">React + Vite</w:t>
            </w:r>
          </w:p>
        </w:tc>
        <w:tc>
          <w:tcPr>
            <w:tcW w:type="dxa" w:w="4300"/>
          </w:tcPr>
          <w:p>
            <w:r>
              <w:rPr>
                <w:b w:val="false"/>
                <w:bCs w:val="false"/>
                <w:sz w:val="20"/>
                <w:szCs w:val="20"/>
              </w:rPr>
              <w:t xml:space="preserve">Widely used, fast dev server, straightforward to demo</w:t>
            </w:r>
          </w:p>
        </w:tc>
      </w:tr>
      <w:tr>
        <w:tc>
          <w:tcPr>
            <w:tcW w:type="dxa" w:w="1600"/>
          </w:tcPr>
          <w:p>
            <w:r>
              <w:rPr>
                <w:b w:val="false"/>
                <w:bCs w:val="false"/>
                <w:sz w:val="20"/>
                <w:szCs w:val="20"/>
              </w:rPr>
              <w:t xml:space="preserve">Backend API</w:t>
            </w:r>
          </w:p>
        </w:tc>
        <w:tc>
          <w:tcPr>
            <w:tcW w:type="dxa" w:w="3400"/>
          </w:tcPr>
          <w:p>
            <w:r>
              <w:rPr>
                <w:b w:val="false"/>
                <w:bCs w:val="false"/>
                <w:sz w:val="20"/>
                <w:szCs w:val="20"/>
              </w:rPr>
              <w:t xml:space="preserve">Python + FastAPI</w:t>
            </w:r>
          </w:p>
        </w:tc>
        <w:tc>
          <w:tcPr>
            <w:tcW w:type="dxa" w:w="4300"/>
          </w:tcPr>
          <w:p>
            <w:r>
              <w:rPr>
                <w:b w:val="false"/>
                <w:bCs w:val="false"/>
                <w:sz w:val="20"/>
                <w:szCs w:val="20"/>
              </w:rPr>
              <w:t xml:space="preserve">Simple to wire AI calls together; auto-generated interactive docs at /docs, used directly for testing</w:t>
            </w:r>
          </w:p>
        </w:tc>
      </w:tr>
      <w:tr>
        <w:tc>
          <w:tcPr>
            <w:tcW w:type="dxa" w:w="1600"/>
          </w:tcPr>
          <w:p>
            <w:r>
              <w:rPr>
                <w:b w:val="false"/>
                <w:bCs w:val="false"/>
                <w:sz w:val="20"/>
                <w:szCs w:val="20"/>
              </w:rPr>
              <w:t xml:space="preserve">Multimodal AI</w:t>
            </w:r>
          </w:p>
        </w:tc>
        <w:tc>
          <w:tcPr>
            <w:tcW w:type="dxa" w:w="3400"/>
          </w:tcPr>
          <w:p>
            <w:r>
              <w:rPr>
                <w:b w:val="false"/>
                <w:bCs w:val="false"/>
                <w:sz w:val="20"/>
                <w:szCs w:val="20"/>
              </w:rPr>
              <w:t xml:space="preserve">Google Gemini API (gemini-3.6-flash)</w:t>
            </w:r>
          </w:p>
        </w:tc>
        <w:tc>
          <w:tcPr>
            <w:tcW w:type="dxa" w:w="4300"/>
          </w:tcPr>
          <w:p>
            <w:r>
              <w:rPr>
                <w:b w:val="false"/>
                <w:bCs w:val="false"/>
                <w:sz w:val="20"/>
                <w:szCs w:val="20"/>
              </w:rPr>
              <w:t xml:space="preserve">Vision-capable model accessible via a free-tier API key, avoiding the need to train a custom vision model</w:t>
            </w:r>
          </w:p>
        </w:tc>
      </w:tr>
      <w:tr>
        <w:tc>
          <w:tcPr>
            <w:tcW w:type="dxa" w:w="1600"/>
          </w:tcPr>
          <w:p>
            <w:r>
              <w:rPr>
                <w:b w:val="false"/>
                <w:bCs w:val="false"/>
                <w:sz w:val="20"/>
                <w:szCs w:val="20"/>
              </w:rPr>
              <w:t xml:space="preserve">Embeddings</w:t>
            </w:r>
          </w:p>
        </w:tc>
        <w:tc>
          <w:tcPr>
            <w:tcW w:type="dxa" w:w="3400"/>
          </w:tcPr>
          <w:p>
            <w:r>
              <w:rPr>
                <w:b w:val="false"/>
                <w:bCs w:val="false"/>
                <w:sz w:val="20"/>
                <w:szCs w:val="20"/>
              </w:rPr>
              <w:t xml:space="preserve">Gemini embedding model (gemini-embedding-001)</w:t>
            </w:r>
          </w:p>
        </w:tc>
        <w:tc>
          <w:tcPr>
            <w:tcW w:type="dxa" w:w="4300"/>
          </w:tcPr>
          <w:p>
            <w:r>
              <w:rPr>
                <w:b w:val="false"/>
                <w:bCs w:val="false"/>
                <w:sz w:val="20"/>
                <w:szCs w:val="20"/>
              </w:rPr>
              <w:t xml:space="preserve">Same provider as the generation model, keeping the stack simple</w:t>
            </w:r>
          </w:p>
        </w:tc>
      </w:tr>
      <w:tr>
        <w:tc>
          <w:tcPr>
            <w:tcW w:type="dxa" w:w="1600"/>
          </w:tcPr>
          <w:p>
            <w:r>
              <w:rPr>
                <w:b w:val="false"/>
                <w:bCs w:val="false"/>
                <w:sz w:val="20"/>
                <w:szCs w:val="20"/>
              </w:rPr>
              <w:t xml:space="preserve">Vector store</w:t>
            </w:r>
          </w:p>
        </w:tc>
        <w:tc>
          <w:tcPr>
            <w:tcW w:type="dxa" w:w="3400"/>
          </w:tcPr>
          <w:p>
            <w:r>
              <w:rPr>
                <w:b w:val="false"/>
                <w:bCs w:val="false"/>
                <w:sz w:val="20"/>
                <w:szCs w:val="20"/>
              </w:rPr>
              <w:t xml:space="preserve">Chroma (local)</w:t>
            </w:r>
          </w:p>
        </w:tc>
        <w:tc>
          <w:tcPr>
            <w:tcW w:type="dxa" w:w="4300"/>
          </w:tcPr>
          <w:p>
            <w:r>
              <w:rPr>
                <w:b w:val="false"/>
                <w:bCs w:val="false"/>
                <w:sz w:val="20"/>
                <w:szCs w:val="20"/>
              </w:rPr>
              <w:t xml:space="preserve">Free, zero-infrastructure, appropriate for a knowledge base of this size</w:t>
            </w:r>
          </w:p>
        </w:tc>
      </w:tr>
      <w:tr>
        <w:tc>
          <w:tcPr>
            <w:tcW w:type="dxa" w:w="1600"/>
          </w:tcPr>
          <w:p>
            <w:r>
              <w:rPr>
                <w:b w:val="false"/>
                <w:bCs w:val="false"/>
                <w:sz w:val="20"/>
                <w:szCs w:val="20"/>
              </w:rPr>
              <w:t xml:space="preserve">Classification logic</w:t>
            </w:r>
          </w:p>
        </w:tc>
        <w:tc>
          <w:tcPr>
            <w:tcW w:type="dxa" w:w="3400"/>
          </w:tcPr>
          <w:p>
            <w:r>
              <w:rPr>
                <w:b w:val="false"/>
                <w:bCs w:val="false"/>
                <w:sz w:val="20"/>
                <w:szCs w:val="20"/>
              </w:rPr>
              <w:t xml:space="preserve">Plain Python rule table</w:t>
            </w:r>
          </w:p>
        </w:tc>
        <w:tc>
          <w:tcPr>
            <w:tcW w:type="dxa" w:w="4300"/>
          </w:tcPr>
          <w:p>
            <w:r>
              <w:rPr>
                <w:b w:val="false"/>
                <w:bCs w:val="false"/>
                <w:sz w:val="20"/>
                <w:szCs w:val="20"/>
              </w:rPr>
              <w:t xml:space="preserve">Transparent and testable; avoids an opaque model decision for a step that should be explainable</w:t>
            </w:r>
          </w:p>
        </w:tc>
      </w:tr>
      <w:tr>
        <w:tc>
          <w:tcPr>
            <w:tcW w:type="dxa" w:w="1600"/>
          </w:tcPr>
          <w:p>
            <w:r>
              <w:rPr>
                <w:b w:val="false"/>
                <w:bCs w:val="false"/>
                <w:sz w:val="20"/>
                <w:szCs w:val="20"/>
              </w:rPr>
              <w:t xml:space="preserve">Analytics storage</w:t>
            </w:r>
          </w:p>
        </w:tc>
        <w:tc>
          <w:tcPr>
            <w:tcW w:type="dxa" w:w="3400"/>
          </w:tcPr>
          <w:p>
            <w:r>
              <w:rPr>
                <w:b w:val="false"/>
                <w:bCs w:val="false"/>
                <w:sz w:val="20"/>
                <w:szCs w:val="20"/>
              </w:rPr>
              <w:t xml:space="preserve">SQLite</w:t>
            </w:r>
          </w:p>
        </w:tc>
        <w:tc>
          <w:tcPr>
            <w:tcW w:type="dxa" w:w="4300"/>
          </w:tcPr>
          <w:p>
            <w:r>
              <w:rPr>
                <w:b w:val="false"/>
                <w:bCs w:val="false"/>
                <w:sz w:val="20"/>
                <w:szCs w:val="20"/>
              </w:rPr>
              <w:t xml:space="preserve">Zero-setup, sufficient for prototype-scale anonymized logs</w:t>
            </w:r>
          </w:p>
        </w:tc>
      </w:tr>
      <w:tr>
        <w:tc>
          <w:tcPr>
            <w:tcW w:type="dxa" w:w="1600"/>
          </w:tcPr>
          <w:p>
            <w:r>
              <w:rPr>
                <w:b w:val="false"/>
                <w:bCs w:val="false"/>
                <w:sz w:val="20"/>
                <w:szCs w:val="20"/>
              </w:rPr>
              <w:t xml:space="preserve">Analytics dashboard</w:t>
            </w:r>
          </w:p>
        </w:tc>
        <w:tc>
          <w:tcPr>
            <w:tcW w:type="dxa" w:w="3400"/>
          </w:tcPr>
          <w:p>
            <w:r>
              <w:rPr>
                <w:b w:val="false"/>
                <w:bCs w:val="false"/>
                <w:sz w:val="20"/>
                <w:szCs w:val="20"/>
              </w:rPr>
              <w:t xml:space="preserve">Streamlit</w:t>
            </w:r>
          </w:p>
        </w:tc>
        <w:tc>
          <w:tcPr>
            <w:tcW w:type="dxa" w:w="4300"/>
          </w:tcPr>
          <w:p>
            <w:r>
              <w:rPr>
                <w:b w:val="false"/>
                <w:bCs w:val="false"/>
                <w:sz w:val="20"/>
                <w:szCs w:val="20"/>
              </w:rPr>
              <w:t xml:space="preserve">Fast to build, good for showing real aggregate stats in a live demo</w:t>
            </w:r>
          </w:p>
        </w:tc>
      </w:tr>
    </w:tbl>
    <w:p>
      <w:pPr>
        <w:pStyle w:val="Heading1"/>
        <w:spacing w:after="160" w:before="360"/>
      </w:pPr>
      <w:r>
        <w:t xml:space="preserve">12. Implementation Status</w:t>
      </w:r>
    </w:p>
    <w:p>
      <w:pPr>
        <w:spacing w:after="160"/>
      </w:pPr>
      <w:r>
        <w:t xml:space="preserve">The project was built incrementally, phase by phase, with each phase tested before moving to the next — rather than generated all at once. As of this document:</w:t>
      </w:r>
    </w:p>
    <w:p>
      <w:pPr>
        <w:spacing w:after="120"/>
      </w:pPr>
      <w:r>
        <w:rPr>
          <w:b/>
          <w:bCs/>
        </w:rPr>
        <w:t xml:space="preserve">Phase 5 — Multimodal analysis: </w:t>
      </w:r>
      <w:r>
        <w:t xml:space="preserve">implemented and tested (script-level and via the full API).</w:t>
      </w:r>
    </w:p>
    <w:p>
      <w:pPr>
        <w:spacing w:after="120"/>
      </w:pPr>
      <w:r>
        <w:rPr>
          <w:b/>
          <w:bCs/>
        </w:rPr>
        <w:t xml:space="preserve">Phase 6 — Classification logic: </w:t>
      </w:r>
      <w:r>
        <w:t xml:space="preserve">implemented and tested; handles single-item, multi-item, and unclear-image cases via three explicit rules.</w:t>
      </w:r>
    </w:p>
    <w:p>
      <w:pPr>
        <w:spacing w:after="120"/>
      </w:pPr>
      <w:r>
        <w:rPr>
          <w:b/>
          <w:bCs/>
        </w:rPr>
        <w:t xml:space="preserve">Phase 7 — RAG knowledge base: </w:t>
      </w:r>
      <w:r>
        <w:t xml:space="preserve">implemented and tested; knowledge base currently covers wet/organic waste, dry/recyclable waste (especially plastic), and general segregation rules well; does not yet have dedicated Glass, Metal, or E-waste sources (see Limitations).</w:t>
      </w:r>
    </w:p>
    <w:p>
      <w:pPr>
        <w:spacing w:after="120"/>
      </w:pPr>
      <w:r>
        <w:rPr>
          <w:b/>
          <w:bCs/>
        </w:rPr>
        <w:t xml:space="preserve">Phase 8 — Backend API: </w:t>
      </w:r>
      <w:r>
        <w:t xml:space="preserve">implemented and tested end-to-end via the interactive /docs interface.</w:t>
      </w:r>
    </w:p>
    <w:p>
      <w:pPr>
        <w:spacing w:after="120"/>
      </w:pPr>
      <w:r>
        <w:rPr>
          <w:b/>
          <w:bCs/>
        </w:rPr>
        <w:t xml:space="preserve">Phase 9 — Frontend: </w:t>
      </w:r>
      <w:r>
        <w:t xml:space="preserve">implemented and confirmed working end-to-end with the backend, via a live screenshot of a correctly classified and displayed result.</w:t>
      </w:r>
    </w:p>
    <w:p>
      <w:pPr>
        <w:spacing w:after="120"/>
      </w:pPr>
      <w:r>
        <w:rPr>
          <w:b/>
          <w:bCs/>
        </w:rPr>
        <w:t xml:space="preserve">Phase 10 — Analytics: </w:t>
      </w:r>
      <w:r>
        <w:t xml:space="preserve">implemented and confirmed working; real aggregate stats (9 items logged, 2 uncertain, category distribution) verified via a live dashboard screenshot.</w:t>
      </w:r>
    </w:p>
    <w:p>
      <w:pPr>
        <w:spacing w:after="120"/>
      </w:pPr>
      <w:r>
        <w:rPr>
          <w:b/>
          <w:bCs/>
        </w:rPr>
        <w:t xml:space="preserve">Phase 11 — Testing: </w:t>
      </w:r>
      <w:r>
        <w:t xml:space="preserve">partially complete; see Testing and Results below and the project's separate test log for the full, honest breakdown of what has and has not yet been tested.</w:t>
      </w:r>
    </w:p>
    <w:p>
      <w:pPr>
        <w:pStyle w:val="Heading1"/>
        <w:spacing w:after="160" w:before="360"/>
      </w:pPr>
      <w:r>
        <w:t xml:space="preserve">13. Testing and Results</w:t>
      </w:r>
    </w:p>
    <w:p>
      <w:pPr>
        <w:spacing w:after="160"/>
      </w:pPr>
      <w:r>
        <w:t xml:space="preserve">Testing was done by actually running real images through the live system — not simulated. The table below reflects confirmed, observed results only.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3600"/>
        <w:gridCol w:w="5200"/>
      </w:tblGrid>
      <w:tr>
        <w:tc>
          <w:tcPr>
            <w:tcW w:type="dxa" w:w="500"/>
            <w:shd w:fill="E8E4D8" w:val="clear"/>
          </w:tcPr>
          <w:p>
            <w:r>
              <w:rPr>
                <w:b/>
                <w:bCs/>
                <w:sz w:val="20"/>
                <w:szCs w:val="20"/>
              </w:rPr>
              <w:t xml:space="preserve">#</w:t>
            </w:r>
          </w:p>
        </w:tc>
        <w:tc>
          <w:tcPr>
            <w:tcW w:type="dxa" w:w="3600"/>
            <w:shd w:fill="E8E4D8" w:val="clear"/>
          </w:tcPr>
          <w:p>
            <w:r>
              <w:rPr>
                <w:b/>
                <w:bCs/>
                <w:sz w:val="20"/>
                <w:szCs w:val="20"/>
              </w:rPr>
              <w:t xml:space="preserve">Test case</w:t>
            </w:r>
          </w:p>
        </w:tc>
        <w:tc>
          <w:tcPr>
            <w:tcW w:type="dxa" w:w="5200"/>
            <w:shd w:fill="E8E4D8" w:val="clear"/>
          </w:tcPr>
          <w:p>
            <w:r>
              <w:rPr>
                <w:b/>
                <w:bCs/>
                <w:sz w:val="20"/>
                <w:szCs w:val="20"/>
              </w:rPr>
              <w:t xml:space="preserve">Result</w:t>
            </w:r>
          </w:p>
        </w:tc>
      </w:tr>
      <w:tr>
        <w:tc>
          <w:tcPr>
            <w:tcW w:type="dxa" w:w="500"/>
          </w:tcPr>
          <w:p>
            <w:r>
              <w:rPr>
                <w:b w:val="false"/>
                <w:bCs w:val="false"/>
                <w:sz w:val="20"/>
                <w:szCs w:val="20"/>
              </w:rPr>
              <w:t xml:space="preserve">1</w:t>
            </w:r>
          </w:p>
        </w:tc>
        <w:tc>
          <w:tcPr>
            <w:tcW w:type="dxa" w:w="3600"/>
          </w:tcPr>
          <w:p>
            <w:r>
              <w:rPr>
                <w:b w:val="false"/>
                <w:bCs w:val="false"/>
                <w:sz w:val="20"/>
                <w:szCs w:val="20"/>
              </w:rPr>
              <w:t xml:space="preserve">Plastic water bottle (clear photo)</w:t>
            </w:r>
          </w:p>
        </w:tc>
        <w:tc>
          <w:tcPr>
            <w:tcW w:type="dxa" w:w="5200"/>
          </w:tcPr>
          <w:p>
            <w:r>
              <w:rPr>
                <w:b w:val="false"/>
                <w:bCs w:val="false"/>
                <w:sz w:val="20"/>
                <w:szCs w:val="20"/>
              </w:rPr>
              <w:t xml:space="preserve">Correctly identified and classified as Recyclable/Dry Waste; grounded across all 3 knowledge base sources</w:t>
            </w:r>
          </w:p>
        </w:tc>
      </w:tr>
      <w:tr>
        <w:tc>
          <w:tcPr>
            <w:tcW w:type="dxa" w:w="500"/>
          </w:tcPr>
          <w:p>
            <w:r>
              <w:rPr>
                <w:b w:val="false"/>
                <w:bCs w:val="false"/>
                <w:sz w:val="20"/>
                <w:szCs w:val="20"/>
              </w:rPr>
              <w:t xml:space="preserve">2</w:t>
            </w:r>
          </w:p>
        </w:tc>
        <w:tc>
          <w:tcPr>
            <w:tcW w:type="dxa" w:w="3600"/>
          </w:tcPr>
          <w:p>
            <w:r>
              <w:rPr>
                <w:b w:val="false"/>
                <w:bCs w:val="false"/>
                <w:sz w:val="20"/>
                <w:szCs w:val="20"/>
              </w:rPr>
              <w:t xml:space="preserve">Glass bottle</w:t>
            </w:r>
          </w:p>
        </w:tc>
        <w:tc>
          <w:tcPr>
            <w:tcW w:type="dxa" w:w="5200"/>
          </w:tcPr>
          <w:p>
            <w:r>
              <w:rPr>
                <w:b w:val="false"/>
                <w:bCs w:val="false"/>
                <w:sz w:val="20"/>
                <w:szCs w:val="20"/>
              </w:rPr>
              <w:t xml:space="preserve">Correctly identified as glass, correctly classified as Glass category; recommendation honestly flagged as NOT grounded, since no glass-specific source exists in the knowledge base</w:t>
            </w:r>
          </w:p>
        </w:tc>
      </w:tr>
      <w:tr>
        <w:tc>
          <w:tcPr>
            <w:tcW w:type="dxa" w:w="500"/>
          </w:tcPr>
          <w:p>
            <w:r>
              <w:rPr>
                <w:b w:val="false"/>
                <w:bCs w:val="false"/>
                <w:sz w:val="20"/>
                <w:szCs w:val="20"/>
              </w:rPr>
              <w:t xml:space="preserve">3</w:t>
            </w:r>
          </w:p>
        </w:tc>
        <w:tc>
          <w:tcPr>
            <w:tcW w:type="dxa" w:w="3600"/>
          </w:tcPr>
          <w:p>
            <w:r>
              <w:rPr>
                <w:b w:val="false"/>
                <w:bCs w:val="false"/>
                <w:sz w:val="20"/>
                <w:szCs w:val="20"/>
              </w:rPr>
              <w:t xml:space="preserve">Composite waste-sorting-bins graphic (multi-item)</w:t>
            </w:r>
          </w:p>
        </w:tc>
        <w:tc>
          <w:tcPr>
            <w:tcW w:type="dxa" w:w="5200"/>
          </w:tcPr>
          <w:p>
            <w:r>
              <w:rPr>
                <w:b w:val="false"/>
                <w:bCs w:val="false"/>
                <w:sz w:val="20"/>
                <w:szCs w:val="20"/>
              </w:rPr>
              <w:t xml:space="preserve">All 7 depicted items correctly split and classified; revealed a genuine limitation — the system does not distinguish a real photo from an illustrative diagram</w:t>
            </w:r>
          </w:p>
        </w:tc>
      </w:tr>
      <w:tr>
        <w:tc>
          <w:tcPr>
            <w:tcW w:type="dxa" w:w="500"/>
          </w:tcPr>
          <w:p>
            <w:r>
              <w:rPr>
                <w:b w:val="false"/>
                <w:bCs w:val="false"/>
                <w:sz w:val="20"/>
                <w:szCs w:val="20"/>
              </w:rPr>
              <w:t xml:space="preserve">4</w:t>
            </w:r>
          </w:p>
        </w:tc>
        <w:tc>
          <w:tcPr>
            <w:tcW w:type="dxa" w:w="3600"/>
          </w:tcPr>
          <w:p>
            <w:r>
              <w:rPr>
                <w:b w:val="false"/>
                <w:bCs w:val="false"/>
                <w:sz w:val="20"/>
                <w:szCs w:val="20"/>
              </w:rPr>
              <w:t xml:space="preserve">Blurry/unclear image</w:t>
            </w:r>
          </w:p>
        </w:tc>
        <w:tc>
          <w:tcPr>
            <w:tcW w:type="dxa" w:w="5200"/>
          </w:tcPr>
          <w:p>
            <w:r>
              <w:rPr>
                <w:b w:val="false"/>
                <w:bCs w:val="false"/>
                <w:sz w:val="20"/>
                <w:szCs w:val="20"/>
              </w:rPr>
              <w:t xml:space="preserve">Correctly routed to “Uncertain/Needs Verification” at the script level; full end-to-end re-confirmation through the live frontend is still outstanding</w:t>
            </w:r>
          </w:p>
        </w:tc>
      </w:tr>
      <w:tr>
        <w:tc>
          <w:tcPr>
            <w:tcW w:type="dxa" w:w="500"/>
          </w:tcPr>
          <w:p>
            <w:r>
              <w:rPr>
                <w:b w:val="false"/>
                <w:bCs w:val="false"/>
                <w:sz w:val="20"/>
                <w:szCs w:val="20"/>
              </w:rPr>
              <w:t xml:space="preserve">5</w:t>
            </w:r>
          </w:p>
        </w:tc>
        <w:tc>
          <w:tcPr>
            <w:tcW w:type="dxa" w:w="3600"/>
          </w:tcPr>
          <w:p>
            <w:r>
              <w:rPr>
                <w:b w:val="false"/>
                <w:bCs w:val="false"/>
                <w:sz w:val="20"/>
                <w:szCs w:val="20"/>
              </w:rPr>
              <w:t xml:space="preserve">Full pipeline via frontend UI</w:t>
            </w:r>
          </w:p>
        </w:tc>
        <w:tc>
          <w:tcPr>
            <w:tcW w:type="dxa" w:w="5200"/>
          </w:tcPr>
          <w:p>
            <w:r>
              <w:rPr>
                <w:b w:val="false"/>
                <w:bCs w:val="false"/>
                <w:sz w:val="20"/>
                <w:szCs w:val="20"/>
              </w:rPr>
              <w:t xml:space="preserve">Confirmed working end-to-end with a live screenshot: correct category tag, recommendation, explanation, sustainability impact, and sources rendered correctly</w:t>
            </w:r>
          </w:p>
        </w:tc>
      </w:tr>
      <w:tr>
        <w:tc>
          <w:tcPr>
            <w:tcW w:type="dxa" w:w="500"/>
          </w:tcPr>
          <w:p>
            <w:r>
              <w:rPr>
                <w:b w:val="false"/>
                <w:bCs w:val="false"/>
                <w:sz w:val="20"/>
                <w:szCs w:val="20"/>
              </w:rPr>
              <w:t xml:space="preserve">6</w:t>
            </w:r>
          </w:p>
        </w:tc>
        <w:tc>
          <w:tcPr>
            <w:tcW w:type="dxa" w:w="3600"/>
          </w:tcPr>
          <w:p>
            <w:r>
              <w:rPr>
                <w:b w:val="false"/>
                <w:bCs w:val="false"/>
                <w:sz w:val="20"/>
                <w:szCs w:val="20"/>
              </w:rPr>
              <w:t xml:space="preserve">Analytics dashboard</w:t>
            </w:r>
          </w:p>
        </w:tc>
        <w:tc>
          <w:tcPr>
            <w:tcW w:type="dxa" w:w="5200"/>
          </w:tcPr>
          <w:p>
            <w:r>
              <w:rPr>
                <w:b w:val="false"/>
                <w:bCs w:val="false"/>
                <w:sz w:val="20"/>
                <w:szCs w:val="20"/>
              </w:rPr>
              <w:t xml:space="preserve">Confirmed working with real data: 9 total items logged, 2 correctly logged as uncertain, category distribution chart and most-frequent-items table populated from actual usage, not placeholder data</w:t>
            </w:r>
          </w:p>
        </w:tc>
      </w:tr>
    </w:tbl>
    <w:p>
      <w:pPr>
        <w:spacing w:after="200"/>
      </w:pPr>
    </w:p>
    <w:p>
      <w:pPr>
        <w:spacing w:after="160"/>
      </w:pPr>
      <w:r>
        <w:t xml:space="preserve">Not yet tested through the full application (honestly disclosed, not hidden): paper/cardboard, metal, food/organic waste, and e-waste items individually; a dark/poorly-lit photo; a genuine multi-item photo (as opposed to the sorting-bins graphic); and an out-of-scope, non-waste image. These are tracked as open items in the project's test log and are planned before final submission.</w:t>
      </w:r>
    </w:p>
    <w:p>
      <w:pPr>
        <w:spacing w:after="160"/>
      </w:pPr>
      <w:r>
        <w:t xml:space="preserve">A real system constraint was also discovered during testing: the Gemini free-tier API key is limited to 5 requests per minute for the generation model, and each image analysis makes at least two API calls (image analysis plus RAG generation). Rapid, back-to-back test uploads can trigger a rate-limit error. This is documented as a known operational constraint, not a bug.</w:t>
      </w:r>
    </w:p>
    <w:p>
      <w:pPr>
        <w:pStyle w:val="Heading1"/>
        <w:spacing w:after="160" w:before="360"/>
      </w:pPr>
      <w:r>
        <w:t xml:space="preserve">14. Responsible AI</w:t>
      </w:r>
    </w:p>
    <w:p>
      <w:pPr>
        <w:spacing w:after="160"/>
      </w:pPr>
      <w:r>
        <w:t xml:space="preserve">The system was evaluated against five Responsible AI principles. A fuller, evidence-by-evidence version of this evaluation exists as a standalone project document; this section summarizes it.</w:t>
      </w:r>
    </w:p>
    <w:p>
      <w:pPr>
        <w:pStyle w:val="Heading2"/>
        <w:spacing w:after="120" w:before="240"/>
      </w:pPr>
      <w:r>
        <w:t xml:space="preserve">14.1 Transparency</w:t>
      </w:r>
    </w:p>
    <w:p>
      <w:pPr>
        <w:spacing w:after="160"/>
      </w:pPr>
      <w:r>
        <w:t xml:space="preserve">Every recommendation displays exactly which source documents were used and includes a grounded_in_sources flag. Classification decisions trace to an explicit, inspectable rule table rather than an opaque model judgment. The interface itself states that results are AI-assisted and not guaranteed accurate.</w:t>
      </w:r>
    </w:p>
    <w:p>
      <w:pPr>
        <w:pStyle w:val="Heading2"/>
        <w:spacing w:after="120" w:before="240"/>
      </w:pPr>
      <w:r>
        <w:t xml:space="preserve">14.2 Uncertainty</w:t>
      </w:r>
    </w:p>
    <w:p>
      <w:pPr>
        <w:spacing w:after="160"/>
      </w:pPr>
      <w:r>
        <w:t xml:space="preserve">Two independent uncertainty mechanisms exist: an image-analysis confidence/clarity check that hard-gates unclear images to “Uncertain” before classification is even attempted, and a separate RAG-grounding check that can flag a correctly identified item as having no reliable sourced disposal advice (demonstrated directly by the glass bottle test).</w:t>
      </w:r>
    </w:p>
    <w:p>
      <w:pPr>
        <w:pStyle w:val="Heading2"/>
        <w:spacing w:after="120" w:before="240"/>
      </w:pPr>
      <w:r>
        <w:t xml:space="preserve">14.3 Privacy</w:t>
      </w:r>
    </w:p>
    <w:p>
      <w:pPr>
        <w:spacing w:after="160"/>
      </w:pPr>
      <w:r>
        <w:t xml:space="preserve">The analytics database stores only an item name, category, grounded/uncertain flags, and a timestamp — never the uploaded image, a user identifier, or any session data. Uploaded images exist only as a temporary file for the duration of one request and are deleted immediately afterward, even if an error occurs.</w:t>
      </w:r>
    </w:p>
    <w:p>
      <w:pPr>
        <w:pStyle w:val="Heading2"/>
        <w:spacing w:after="120" w:before="240"/>
      </w:pPr>
      <w:r>
        <w:t xml:space="preserve">14.4 Ethics</w:t>
      </w:r>
    </w:p>
    <w:p>
      <w:pPr>
        <w:spacing w:after="160"/>
      </w:pPr>
      <w:r>
        <w:t xml:space="preserve">Recommendations are grounded only in real, official government guidance, with the model explicitly instructed not to supplement retrieved passages with its own general knowledge — reducing the risk of a plausible-sounding but unsafe suggestion. This is a design-level safeguard; adversarial testing of this property is planned but not yet complete.</w:t>
      </w:r>
    </w:p>
    <w:p>
      <w:pPr>
        <w:pStyle w:val="Heading2"/>
        <w:spacing w:after="120" w:before="240"/>
      </w:pPr>
      <w:r>
        <w:t xml:space="preserve">14.5 Fairness</w:t>
      </w:r>
    </w:p>
    <w:p>
      <w:pPr>
        <w:spacing w:after="160"/>
      </w:pPr>
      <w:r>
        <w:t xml:space="preserve">Testing so far spans a clear well-lit item, a different material class, a complex multi-object image, and unclear-image handling. Testing across the full range of categories, lighting conditions, and out-of-scope inputs is ongoing and honestly incomplete as of this document (see Testing and Results).</w:t>
      </w:r>
    </w:p>
    <w:p>
      <w:pPr>
        <w:pStyle w:val="Heading1"/>
        <w:spacing w:after="160" w:before="360"/>
      </w:pPr>
      <w:r>
        <w:t xml:space="preserve">15. Limitations</w:t>
      </w:r>
    </w:p>
    <w:p>
      <w:pPr>
        <w:pStyle w:val="ListParagraph"/>
        <w:numPr>
          <w:ilvl w:val="0"/>
          <w:numId w:val="1"/>
        </w:numPr>
        <w:spacing w:after="80"/>
      </w:pPr>
      <w:r>
        <w:t xml:space="preserve">The RAG knowledge base does not yet have dedicated sources for Glass, Metal, or E-waste — recommendations for these categories may be correctly flagged as ungrounded rather than fully answered.</w:t>
      </w:r>
    </w:p>
    <w:p>
      <w:pPr>
        <w:pStyle w:val="ListParagraph"/>
        <w:numPr>
          <w:ilvl w:val="0"/>
          <w:numId w:val="1"/>
        </w:numPr>
        <w:spacing w:after="80"/>
      </w:pPr>
      <w:r>
        <w:t xml:space="preserve">The system cannot currently distinguish a real photograph of physical waste from an illustrative diagram or graphic, which can produce technically-correct-but-misleading multi-item output.</w:t>
      </w:r>
    </w:p>
    <w:p>
      <w:pPr>
        <w:pStyle w:val="ListParagraph"/>
        <w:numPr>
          <w:ilvl w:val="0"/>
          <w:numId w:val="1"/>
        </w:numPr>
        <w:spacing w:after="80"/>
      </w:pPr>
      <w:r>
        <w:t xml:space="preserve">Testing has not yet covered paper/cardboard, metal, food waste, and e-waste individually through the full application, nor dark-lighting conditions, a genuine multi-item photo, or out-of-scope (non-waste) images.</w:t>
      </w:r>
    </w:p>
    <w:p>
      <w:pPr>
        <w:pStyle w:val="ListParagraph"/>
        <w:numPr>
          <w:ilvl w:val="0"/>
          <w:numId w:val="1"/>
        </w:numPr>
        <w:spacing w:after="80"/>
      </w:pPr>
      <w:r>
        <w:t xml:space="preserve">The Gemini free-tier API key imposes a 5-requests-per-minute limit, which constrains rapid successive testing and would need a paid tier or request-batching strategy for real multi-user deployment.</w:t>
      </w:r>
    </w:p>
    <w:p>
      <w:pPr>
        <w:pStyle w:val="ListParagraph"/>
        <w:numPr>
          <w:ilvl w:val="0"/>
          <w:numId w:val="1"/>
        </w:numPr>
        <w:spacing w:after="80"/>
      </w:pPr>
      <w:r>
        <w:t xml:space="preserve">Uploaded images are sent to a third-party API (Google Gemini) for processing; this is disclosed in project documentation but not yet surfaced directly in the user interface itself.</w:t>
      </w:r>
    </w:p>
    <w:p>
      <w:pPr>
        <w:pStyle w:val="ListParagraph"/>
        <w:numPr>
          <w:ilvl w:val="0"/>
          <w:numId w:val="1"/>
        </w:numPr>
        <w:spacing w:after="80"/>
      </w:pPr>
      <w:r>
        <w:t xml:space="preserve">The custom-trained classifier discussed as a secondary validation path has not yet been built.</w:t>
      </w:r>
    </w:p>
    <w:p>
      <w:pPr>
        <w:pStyle w:val="ListParagraph"/>
        <w:numPr>
          <w:ilvl w:val="0"/>
          <w:numId w:val="1"/>
        </w:numPr>
        <w:spacing w:after="80"/>
      </w:pPr>
      <w:r>
        <w:t xml:space="preserve">The system has not been adversarially tested for whether it could be misled into producing unsafe disposal advice.</w:t>
      </w:r>
    </w:p>
    <w:p>
      <w:pPr>
        <w:pStyle w:val="Heading1"/>
        <w:spacing w:after="160" w:before="360"/>
      </w:pPr>
      <w:r>
        <w:t xml:space="preserve">16. Future Scope</w:t>
      </w:r>
    </w:p>
    <w:p>
      <w:pPr>
        <w:pStyle w:val="ListParagraph"/>
        <w:numPr>
          <w:ilvl w:val="0"/>
          <w:numId w:val="1"/>
        </w:numPr>
        <w:spacing w:after="80"/>
      </w:pPr>
      <w:r>
        <w:t xml:space="preserve">Expand the RAG knowledge base with dedicated Glass, Metal, and E-waste sources (e.g. CPCB's E-Waste Management Rules).</w:t>
      </w:r>
    </w:p>
    <w:p>
      <w:pPr>
        <w:pStyle w:val="ListParagraph"/>
        <w:numPr>
          <w:ilvl w:val="0"/>
          <w:numId w:val="1"/>
        </w:numPr>
        <w:spacing w:after="80"/>
      </w:pPr>
      <w:r>
        <w:t xml:space="preserve">Add a lightweight check for whether an uploaded image is a real photograph versus a diagram/graphic.</w:t>
      </w:r>
    </w:p>
    <w:p>
      <w:pPr>
        <w:pStyle w:val="ListParagraph"/>
        <w:numPr>
          <w:ilvl w:val="0"/>
          <w:numId w:val="1"/>
        </w:numPr>
        <w:spacing w:after="80"/>
      </w:pPr>
      <w:r>
        <w:t xml:space="preserve">Complete the remaining Phase 11 test categories and fold the results into an updated Responsible AI fairness evaluation.</w:t>
      </w:r>
    </w:p>
    <w:p>
      <w:pPr>
        <w:pStyle w:val="ListParagraph"/>
        <w:numPr>
          <w:ilvl w:val="0"/>
          <w:numId w:val="1"/>
        </w:numPr>
        <w:spacing w:after="80"/>
      </w:pPr>
      <w:r>
        <w:t xml:space="preserve">Add a small custom-trained image classifier as a secondary, comparison-only signal alongside the Gemini-based pipeline, as an experimental extension.</w:t>
      </w:r>
    </w:p>
    <w:p>
      <w:pPr>
        <w:pStyle w:val="ListParagraph"/>
        <w:numPr>
          <w:ilvl w:val="0"/>
          <w:numId w:val="1"/>
        </w:numPr>
        <w:spacing w:after="80"/>
      </w:pPr>
      <w:r>
        <w:t xml:space="preserve">Disclose third-party AI processing directly in the user interface, not only in project documentation.</w:t>
      </w:r>
    </w:p>
    <w:p>
      <w:pPr>
        <w:pStyle w:val="ListParagraph"/>
        <w:numPr>
          <w:ilvl w:val="0"/>
          <w:numId w:val="1"/>
        </w:numPr>
        <w:spacing w:after="80"/>
      </w:pPr>
      <w:r>
        <w:t xml:space="preserve">Explore deployment (e.g. a hosted demo) if the free-tier rate limits and cost profile allow it.</w:t>
      </w:r>
    </w:p>
    <w:p>
      <w:pPr>
        <w:pStyle w:val="Heading1"/>
        <w:spacing w:after="160" w:before="360"/>
      </w:pPr>
      <w:r>
        <w:t xml:space="preserve">17. Expected Impact</w:t>
      </w:r>
    </w:p>
    <w:p>
      <w:pPr>
        <w:spacing w:after="160"/>
      </w:pPr>
      <w:r>
        <w:t xml:space="preserve">AI WasteWise is intended to reduce the friction between 'I have this item and don't know what to do with it' and a correct, sourced disposal decision — supporting more accurate household-level waste segregation in line with India's Solid Waste Management Rules, 2026, and SDG 12's goal of reducing waste through prevention, reduction, reuse, and recycling. No claims are made here about measured behavior change or adoption impact, since the system has not yet been deployed to real end users beyond testing — this is a stated aspiration for the prototype's purpose, not a measured outcome.</w:t>
      </w:r>
    </w:p>
    <w:p>
      <w:pPr>
        <w:pStyle w:val="Heading1"/>
        <w:spacing w:after="160" w:before="360"/>
      </w:pPr>
      <w:r>
        <w:t xml:space="preserve">18. Conclusion</w:t>
      </w:r>
    </w:p>
    <w:p>
      <w:pPr>
        <w:spacing w:after="160"/>
      </w:pPr>
      <w:r>
        <w:t xml:space="preserve">AI WasteWise demonstrates a complete, working, end-to-end AI application — image analysis, transparent rule-based classification, RAG-grounded generation, a functioning web interface, and real usage analytics — built incrementally and tested with real data at every stage rather than assumed to work. Its core contribution is not a novel AI model but disciplined AI engineering: honest uncertainty handling, source-grounded generation instead of unverified AI claims, privacy-conscious data handling, and transparent documentation of what has and has not yet been proven. The remaining work — completing category-level testing, closing knowledge base gaps, and adversarial safety testing — is clearly scoped and tracked, consistent with the project's own rule against claiming more than has been demonstrated.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2026-09-20T03:42:55.788Z</dcterms:created>
  <dcterms:modified xsi:type="dcterms:W3CDTF">2026-09-20T03:42:55.788Z</dcterms:modified>
</cp:coreProperties>
</file>

<file path=docProps/custom.xml><?xml version="1.0" encoding="utf-8"?>
<Properties xmlns="http://schemas.openxmlformats.org/officeDocument/2006/custom-properties" xmlns:vt="http://schemas.openxmlformats.org/officeDocument/2006/docPropsVTypes"/>
</file>