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spacing w:before="0" w:after="80" w:line="276" w:lineRule="auto"/>
      </w:pPr>
      <w:r>
        <w:rPr>
          <w:b/>
          <w:color w:val="0F766E"/>
          <w:sz w:val="64"/>
        </w:rPr>
        <w:t xml:space="preserve">QoS Buddy</w:t>
      </w:r>
    </w:p>
    <w:p>
      <w:pPr>
        <w:pStyle w:val="Subtitle"/>
        <w:spacing w:before="0" w:after="260" w:line="276" w:lineRule="auto"/>
      </w:pPr>
      <w:r>
        <w:rPr>
          <w:color w:val="334155"/>
          <w:sz w:val="30"/>
        </w:rPr>
        <w:t xml:space="preserve">AI-powered network quality intelligence for modern NOC teams</w:t>
      </w:r>
    </w:p>
    <w:p>
      <w:pPr>
        <w:pBdr>
          <w:left w:val="single" w:sz="18" w:space="8" w:color="0F766E"/>
        </w:pBdr>
        <w:shd w:fill="EAF4F4"/>
        <w:spacing w:before="160" w:after="220" w:line="276" w:lineRule="auto"/>
        <w:ind w:left="220" w:right="220"/>
      </w:pPr>
      <w:r>
        <w:rPr>
          <w:b/>
          <w:color w:val="123B3A"/>
        </w:rPr>
        <w:t xml:space="preserve">From live telemetry to forecast, diagnosis, recommended action, and operator-ready reporting - QoS Buddy helps teams detect service degradation earlier and respond with evidence.</w:t>
      </w:r>
    </w:p>
    <w:p>
      <w:pPr>
        <w:spacing w:before="500" w:after="160" w:line="276" w:lineRule="auto"/>
      </w:pPr>
      <w:r>
        <w:rPr>
          <w:b/>
          <w:color w:val="475569"/>
          <w:sz w:val="24"/>
        </w:rPr>
        <w:t xml:space="preserve">Marketing solution overview</w:t>
      </w:r>
    </w:p>
    <w:p>
      <w:pPr>
        <w:spacing w:before="0" w:after="700" w:line="276" w:lineRule="auto"/>
      </w:pPr>
      <w:r>
        <w:rPr>
          <w:color w:val="64748B"/>
        </w:rPr>
        <w:t xml:space="preserve">May 2026</w:t>
      </w:r>
    </w:p>
    <w:tbl>
      <w:tblPr>
        <w:tblW w:w="0" w:type="auto"/>
        <w:tblBorders>
          <w:top w:val="single" w:sz="4" w:color="C7D2D1"/>
          <w:left w:val="single" w:sz="4" w:color="C7D2D1"/>
          <w:bottom w:val="single" w:sz="4" w:color="C7D2D1"/>
          <w:right w:val="single" w:sz="4" w:color="C7D2D1"/>
          <w:insideH w:val="single" w:sz="4" w:color="DDE7E6"/>
          <w:insideV w:val="single" w:sz="4" w:color="DDE7E6"/>
        </w:tblBorders>
        <w:tblCellMar>
          <w:top w:w="120" w:type="dxa"/>
          <w:left w:w="120" w:type="dxa"/>
          <w:bottom w:w="120" w:type="dxa"/>
          <w:right w:w="120" w:type="dxa"/>
        </w:tblCellMar>
      </w:tblPr>
      <w:tblGrid>
        <w:gridCol w:w="2300"/>
        <w:gridCol w:w="6500"/>
      </w:tblGrid>
      <w:tr>
        <w:tc>
          <w:tcPr>
            <w:tcW w:w="2300" w:type="dxa"/>
            <w:tcMar>
              <w:top w:w="120" w:type="dxa"/>
              <w:left w:w="140" w:type="dxa"/>
              <w:bottom w:w="120" w:type="dxa"/>
              <w:right w:w="140" w:type="dxa"/>
            </w:tcMar>
            <w:vAlign w:val="center"/>
          </w:tcPr>
          <w:p>
            <w:pPr>
              <w:spacing w:before="0" w:after="0" w:line="276" w:lineRule="auto"/>
            </w:pPr>
            <w:r>
              <w:rPr>
                <w:color w:val="1F2937"/>
              </w:rPr>
              <w:t xml:space="preserve">What it is</w:t>
            </w:r>
          </w:p>
        </w:tc>
        <w:tc>
          <w:tcPr>
            <w:tcW w:w="6500" w:type="dxa"/>
            <w:tcMar>
              <w:top w:w="120" w:type="dxa"/>
              <w:left w:w="140" w:type="dxa"/>
              <w:bottom w:w="120" w:type="dxa"/>
              <w:right w:w="140" w:type="dxa"/>
            </w:tcMar>
            <w:vAlign w:val="center"/>
          </w:tcPr>
          <w:p>
            <w:pPr>
              <w:spacing w:before="0" w:after="0" w:line="276" w:lineRule="auto"/>
            </w:pPr>
            <w:r>
              <w:rPr>
                <w:color w:val="1F2937"/>
              </w:rPr>
              <w:t xml:space="preserve">A unified AI command center for monitoring, detection, prediction, diagnosis, optimization, reporting, and operator memory.</w:t>
            </w:r>
          </w:p>
        </w:tc>
      </w:tr>
      <w:tr>
        <w:tc>
          <w:tcPr>
            <w:tcW w:w="2300" w:type="dxa"/>
            <w:shd w:fill="F6FAFA"/>
            <w:tcMar>
              <w:top w:w="120" w:type="dxa"/>
              <w:left w:w="140" w:type="dxa"/>
              <w:bottom w:w="120" w:type="dxa"/>
              <w:right w:w="140" w:type="dxa"/>
            </w:tcMar>
            <w:vAlign w:val="center"/>
          </w:tcPr>
          <w:p>
            <w:pPr>
              <w:spacing w:before="0" w:after="0" w:line="276" w:lineRule="auto"/>
            </w:pPr>
            <w:r>
              <w:rPr>
                <w:color w:val="1F2937"/>
              </w:rPr>
              <w:t xml:space="preserve">Who it serves</w:t>
            </w:r>
          </w:p>
        </w:tc>
        <w:tc>
          <w:tcPr>
            <w:tcW w:w="6500" w:type="dxa"/>
            <w:shd w:fill="F6FAFA"/>
            <w:tcMar>
              <w:top w:w="120" w:type="dxa"/>
              <w:left w:w="140" w:type="dxa"/>
              <w:bottom w:w="120" w:type="dxa"/>
              <w:right w:w="140" w:type="dxa"/>
            </w:tcMar>
            <w:vAlign w:val="center"/>
          </w:tcPr>
          <w:p>
            <w:pPr>
              <w:spacing w:before="0" w:after="0" w:line="276" w:lineRule="auto"/>
            </w:pPr>
            <w:r>
              <w:rPr>
                <w:color w:val="1F2937"/>
              </w:rPr>
              <w:t xml:space="preserve">Telecom operators, enterprise network teams, managed service providers, NOC leaders, and AI engineering teams.</w:t>
            </w:r>
          </w:p>
        </w:tc>
      </w:tr>
      <w:tr>
        <w:tc>
          <w:tcPr>
            <w:tcW w:w="2300" w:type="dxa"/>
            <w:tcMar>
              <w:top w:w="120" w:type="dxa"/>
              <w:left w:w="140" w:type="dxa"/>
              <w:bottom w:w="120" w:type="dxa"/>
              <w:right w:w="140" w:type="dxa"/>
            </w:tcMar>
            <w:vAlign w:val="center"/>
          </w:tcPr>
          <w:p>
            <w:pPr>
              <w:spacing w:before="0" w:after="0" w:line="276" w:lineRule="auto"/>
            </w:pPr>
            <w:r>
              <w:rPr>
                <w:color w:val="1F2937"/>
              </w:rPr>
              <w:t xml:space="preserve">Core promise</w:t>
            </w:r>
          </w:p>
        </w:tc>
        <w:tc>
          <w:tcPr>
            <w:tcW w:w="6500" w:type="dxa"/>
            <w:tcMar>
              <w:top w:w="120" w:type="dxa"/>
              <w:left w:w="140" w:type="dxa"/>
              <w:bottom w:w="120" w:type="dxa"/>
              <w:right w:w="140" w:type="dxa"/>
            </w:tcMar>
            <w:vAlign w:val="center"/>
          </w:tcPr>
          <w:p>
            <w:pPr>
              <w:spacing w:before="0" w:after="0" w:line="276" w:lineRule="auto"/>
            </w:pPr>
            <w:r>
              <w:rPr>
                <w:color w:val="1F2937"/>
              </w:rPr>
              <w:t xml:space="preserve">See quality problems sooner, understand why they happen, and choose the safest next action with traceable evidence.</w:t>
            </w:r>
          </w:p>
        </w:tc>
      </w:tr>
    </w:tbl>
    <w:p>
      <w:r>
        <w:br w:type="page"/>
      </w:r>
    </w:p>
    <w:p>
      <w:pPr>
        <w:pStyle w:val="Heading1"/>
        <w:spacing w:before="0" w:after="160" w:line="276" w:lineRule="auto"/>
      </w:pPr>
      <w:r>
        <w:t xml:space="preserve">Solution Overview</w:t>
      </w:r>
    </w:p>
    <w:p>
      <w:pPr>
        <w:spacing w:before="0" w:after="160" w:line="276" w:lineRule="auto"/>
      </w:pPr>
      <w:r>
        <w:t xml:space="preserve">QoS Buddy is an integrated network operations intelligence platform designed to turn raw quality-of-service signals into actionable operational decisions. It combines live monitoring, anomaly detection, predictive forecasting, root-cause diagnosis, optimization recommendations, LLM-assisted reporting, and persistent incident memory in one operator-facing environment.</w:t>
      </w:r>
    </w:p>
    <w:p>
      <w:pPr>
        <w:spacing w:before="0" w:after="160" w:line="276" w:lineRule="auto"/>
      </w:pPr>
      <w:r>
        <w:t xml:space="preserve">Instead of treating monitoring, AI models, dashboards, and remediation as separate tools, QoS Buddy connects them into a single event-driven workflow. Each agent contributes a specialized capability, while the dashboard gives operators a clear view of what is happening, why it matters, and what to do next.</w:t>
      </w:r>
    </w:p>
    <w:p>
      <w:pPr>
        <w:pBdr>
          <w:left w:val="single" w:sz="18" w:space="8" w:color="0F766E"/>
        </w:pBdr>
        <w:shd w:fill="EAF4F4"/>
        <w:spacing w:before="160" w:after="220" w:line="276" w:lineRule="auto"/>
        <w:ind w:left="220" w:right="220"/>
      </w:pPr>
      <w:r>
        <w:rPr>
          <w:b/>
          <w:color w:val="123B3A"/>
        </w:rPr>
        <w:t xml:space="preserve">Positioning statement: QoS Buddy is the AI co-pilot for network quality operations - built for teams that need faster detection, clearer diagnosis, safer action, and audit-ready evidence.</w:t>
      </w:r>
    </w:p>
    <w:p>
      <w:pPr>
        <w:pStyle w:val="Heading2"/>
        <w:spacing w:before="0" w:after="160" w:line="276" w:lineRule="auto"/>
      </w:pPr>
      <w:r>
        <w:t xml:space="preserve">The Operational Problem</w:t>
      </w:r>
    </w:p>
    <w:p>
      <w:pPr>
        <w:pStyle w:val="BodyText"/>
        <w:numPr>
          <w:ilvl w:val="0"/>
          <w:numId w:val="1"/>
        </w:numPr>
        <w:spacing w:after="120" w:line="276" w:lineRule="auto"/>
      </w:pPr>
      <w:r>
        <w:t xml:space="preserve">Network teams often see incidents only after customers feel them.</w:t>
      </w:r>
    </w:p>
    <w:p>
      <w:pPr>
        <w:pStyle w:val="BodyText"/>
        <w:numPr>
          <w:ilvl w:val="0"/>
          <w:numId w:val="1"/>
        </w:numPr>
        <w:spacing w:after="120" w:line="276" w:lineRule="auto"/>
      </w:pPr>
      <w:r>
        <w:t xml:space="preserve">Traditional dashboards show symptoms, but not always likely causes or next-best actions.</w:t>
      </w:r>
    </w:p>
    <w:p>
      <w:pPr>
        <w:pStyle w:val="BodyText"/>
        <w:numPr>
          <w:ilvl w:val="0"/>
          <w:numId w:val="1"/>
        </w:numPr>
        <w:spacing w:after="120" w:line="276" w:lineRule="auto"/>
      </w:pPr>
      <w:r>
        <w:t xml:space="preserve">AI experiments often remain isolated from live operations, making them hard to trust or govern.</w:t>
      </w:r>
    </w:p>
    <w:p>
      <w:pPr>
        <w:pStyle w:val="BodyText"/>
        <w:numPr>
          <w:ilvl w:val="0"/>
          <w:numId w:val="1"/>
        </w:numPr>
        <w:spacing w:after="120" w:line="276" w:lineRule="auto"/>
      </w:pPr>
      <w:r>
        <w:t xml:space="preserve">Incident knowledge is scattered across logs, tickets, notebooks, and individual expertise.</w:t>
      </w:r>
    </w:p>
    <w:p>
      <w:pPr>
        <w:pStyle w:val="BodyText"/>
        <w:numPr>
          <w:ilvl w:val="0"/>
          <w:numId w:val="1"/>
        </w:numPr>
        <w:spacing w:after="120" w:line="276" w:lineRule="auto"/>
      </w:pPr>
      <w:r>
        <w:t xml:space="preserve">Manual triage and reporting consume time during the exact moments when speed matters most.</w:t>
      </w:r>
    </w:p>
    <w:p>
      <w:pPr>
        <w:spacing w:before="0" w:after="160" w:line="276" w:lineRule="auto"/>
      </w:pPr>
      <w:r>
        <w:t xml:space="preserve">QoS Buddy addresses this gap by connecting real-time telemetry, machine learning, policy-aware optimization, and reusable incident memory into a practical NOC workflow.</w:t>
      </w:r>
    </w:p>
    <w:p>
      <w:pPr>
        <w:pStyle w:val="Heading1"/>
        <w:spacing w:before="0" w:after="160" w:line="276" w:lineRule="auto"/>
      </w:pPr>
      <w:r>
        <w:t xml:space="preserve">Core Features</w:t>
      </w:r>
    </w:p>
    <w:tbl>
      <w:tblPr>
        <w:tblW w:w="0" w:type="auto"/>
        <w:tblBorders>
          <w:top w:val="single" w:sz="4" w:color="C7D2D1"/>
          <w:left w:val="single" w:sz="4" w:color="C7D2D1"/>
          <w:bottom w:val="single" w:sz="4" w:color="C7D2D1"/>
          <w:right w:val="single" w:sz="4" w:color="C7D2D1"/>
          <w:insideH w:val="single" w:sz="4" w:color="DDE7E6"/>
          <w:insideV w:val="single" w:sz="4" w:color="DDE7E6"/>
        </w:tblBorders>
        <w:tblCellMar>
          <w:top w:w="120" w:type="dxa"/>
          <w:left w:w="120" w:type="dxa"/>
          <w:bottom w:w="120" w:type="dxa"/>
          <w:right w:w="120" w:type="dxa"/>
        </w:tblCellMar>
      </w:tblPr>
      <w:tblGrid>
        <w:gridCol w:w="1850"/>
        <w:gridCol w:w="4200"/>
        <w:gridCol w:w="2950"/>
      </w:tblGrid>
      <w:tr>
        <w:tc>
          <w:tcPr>
            <w:tcW w:w="1850" w:type="dxa"/>
            <w:shd w:fill="123B3A"/>
            <w:tcMar>
              <w:top w:w="120" w:type="dxa"/>
              <w:left w:w="140" w:type="dxa"/>
              <w:bottom w:w="120" w:type="dxa"/>
              <w:right w:w="140" w:type="dxa"/>
            </w:tcMar>
            <w:vAlign w:val="center"/>
          </w:tcPr>
          <w:p>
            <w:pPr>
              <w:spacing w:before="0" w:after="0" w:line="276" w:lineRule="auto"/>
            </w:pPr>
            <w:r>
              <w:rPr>
                <w:b/>
                <w:color w:val="FFFFFF"/>
              </w:rPr>
              <w:t xml:space="preserve">Capability</w:t>
            </w:r>
          </w:p>
        </w:tc>
        <w:tc>
          <w:tcPr>
            <w:tcW w:w="4200" w:type="dxa"/>
            <w:shd w:fill="123B3A"/>
            <w:tcMar>
              <w:top w:w="120" w:type="dxa"/>
              <w:left w:w="140" w:type="dxa"/>
              <w:bottom w:w="120" w:type="dxa"/>
              <w:right w:w="140" w:type="dxa"/>
            </w:tcMar>
            <w:vAlign w:val="center"/>
          </w:tcPr>
          <w:p>
            <w:pPr>
              <w:spacing w:before="0" w:after="0" w:line="276" w:lineRule="auto"/>
            </w:pPr>
            <w:r>
              <w:rPr>
                <w:b/>
                <w:color w:val="FFFFFF"/>
              </w:rPr>
              <w:t xml:space="preserve">What it does</w:t>
            </w:r>
          </w:p>
        </w:tc>
        <w:tc>
          <w:tcPr>
            <w:tcW w:w="2950" w:type="dxa"/>
            <w:shd w:fill="123B3A"/>
            <w:tcMar>
              <w:top w:w="120" w:type="dxa"/>
              <w:left w:w="140" w:type="dxa"/>
              <w:bottom w:w="120" w:type="dxa"/>
              <w:right w:w="140" w:type="dxa"/>
            </w:tcMar>
            <w:vAlign w:val="center"/>
          </w:tcPr>
          <w:p>
            <w:pPr>
              <w:spacing w:before="0" w:after="0" w:line="276" w:lineRule="auto"/>
            </w:pPr>
            <w:r>
              <w:rPr>
                <w:b/>
                <w:color w:val="FFFFFF"/>
              </w:rPr>
              <w:t xml:space="preserve">Business value</w:t>
            </w:r>
          </w:p>
        </w:tc>
      </w:tr>
      <w:tr>
        <w:tc>
          <w:tcPr>
            <w:tcW w:w="1850" w:type="dxa"/>
            <w:shd w:fill="F6FAFA"/>
            <w:tcMar>
              <w:top w:w="120" w:type="dxa"/>
              <w:left w:w="140" w:type="dxa"/>
              <w:bottom w:w="120" w:type="dxa"/>
              <w:right w:w="140" w:type="dxa"/>
            </w:tcMar>
            <w:vAlign w:val="center"/>
          </w:tcPr>
          <w:p>
            <w:pPr>
              <w:spacing w:before="0" w:after="0" w:line="276" w:lineRule="auto"/>
            </w:pPr>
            <w:r>
              <w:rPr>
                <w:color w:val="1F2937"/>
              </w:rPr>
              <w:t xml:space="preserve">Live QoS Monitoring</w:t>
            </w:r>
          </w:p>
        </w:tc>
        <w:tc>
          <w:tcPr>
            <w:tcW w:w="4200" w:type="dxa"/>
            <w:shd w:fill="F6FAFA"/>
            <w:tcMar>
              <w:top w:w="120" w:type="dxa"/>
              <w:left w:w="140" w:type="dxa"/>
              <w:bottom w:w="120" w:type="dxa"/>
              <w:right w:w="140" w:type="dxa"/>
            </w:tcMar>
            <w:vAlign w:val="center"/>
          </w:tcPr>
          <w:p>
            <w:pPr>
              <w:spacing w:before="0" w:after="0" w:line="276" w:lineRule="auto"/>
            </w:pPr>
            <w:r>
              <w:rPr>
                <w:color w:val="1F2937"/>
              </w:rPr>
              <w:t xml:space="preserve">Tails real network and host metrics, including latency, jitter, packet loss, throughput, radio indicators, router signals, and quality fields.</w:t>
            </w:r>
          </w:p>
        </w:tc>
        <w:tc>
          <w:tcPr>
            <w:tcW w:w="2950" w:type="dxa"/>
            <w:shd w:fill="F6FAFA"/>
            <w:tcMar>
              <w:top w:w="120" w:type="dxa"/>
              <w:left w:w="140" w:type="dxa"/>
              <w:bottom w:w="120" w:type="dxa"/>
              <w:right w:w="140" w:type="dxa"/>
            </w:tcMar>
            <w:vAlign w:val="center"/>
          </w:tcPr>
          <w:p>
            <w:pPr>
              <w:spacing w:before="0" w:after="0" w:line="276" w:lineRule="auto"/>
            </w:pPr>
            <w:r>
              <w:rPr>
                <w:color w:val="1F2937"/>
              </w:rPr>
              <w:t xml:space="preserve">Creates a current operational picture using live data rather than static demos.</w:t>
            </w:r>
          </w:p>
        </w:tc>
      </w:tr>
      <w:tr>
        <w:tc>
          <w:tcPr>
            <w:tcW w:w="1850" w:type="dxa"/>
            <w:tcMar>
              <w:top w:w="120" w:type="dxa"/>
              <w:left w:w="140" w:type="dxa"/>
              <w:bottom w:w="120" w:type="dxa"/>
              <w:right w:w="140" w:type="dxa"/>
            </w:tcMar>
            <w:vAlign w:val="center"/>
          </w:tcPr>
          <w:p>
            <w:pPr>
              <w:spacing w:before="0" w:after="0" w:line="276" w:lineRule="auto"/>
            </w:pPr>
            <w:r>
              <w:rPr>
                <w:color w:val="1F2937"/>
              </w:rPr>
              <w:t xml:space="preserve">Anomaly Detection</w:t>
            </w:r>
          </w:p>
        </w:tc>
        <w:tc>
          <w:tcPr>
            <w:tcW w:w="4200" w:type="dxa"/>
            <w:tcMar>
              <w:top w:w="120" w:type="dxa"/>
              <w:left w:w="140" w:type="dxa"/>
              <w:bottom w:w="120" w:type="dxa"/>
              <w:right w:w="140" w:type="dxa"/>
            </w:tcMar>
            <w:vAlign w:val="center"/>
          </w:tcPr>
          <w:p>
            <w:pPr>
              <w:spacing w:before="0" w:after="0" w:line="276" w:lineRule="auto"/>
            </w:pPr>
            <w:r>
              <w:rPr>
                <w:color w:val="1F2937"/>
              </w:rPr>
              <w:t xml:space="preserve">Scores incoming metrics and emits alerts when behavior deviates from expected patterns.</w:t>
            </w:r>
          </w:p>
        </w:tc>
        <w:tc>
          <w:tcPr>
            <w:tcW w:w="2950" w:type="dxa"/>
            <w:tcMar>
              <w:top w:w="120" w:type="dxa"/>
              <w:left w:w="140" w:type="dxa"/>
              <w:bottom w:w="120" w:type="dxa"/>
              <w:right w:w="140" w:type="dxa"/>
            </w:tcMar>
            <w:vAlign w:val="center"/>
          </w:tcPr>
          <w:p>
            <w:pPr>
              <w:spacing w:before="0" w:after="0" w:line="276" w:lineRule="auto"/>
            </w:pPr>
            <w:r>
              <w:rPr>
                <w:color w:val="1F2937"/>
              </w:rPr>
              <w:t xml:space="preserve">Shortens mean time to detect and helps teams catch degradation before escalation.</w:t>
            </w:r>
          </w:p>
        </w:tc>
      </w:tr>
      <w:tr>
        <w:tc>
          <w:tcPr>
            <w:tcW w:w="1850" w:type="dxa"/>
            <w:shd w:fill="F6FAFA"/>
            <w:tcMar>
              <w:top w:w="120" w:type="dxa"/>
              <w:left w:w="140" w:type="dxa"/>
              <w:bottom w:w="120" w:type="dxa"/>
              <w:right w:w="140" w:type="dxa"/>
            </w:tcMar>
            <w:vAlign w:val="center"/>
          </w:tcPr>
          <w:p>
            <w:pPr>
              <w:spacing w:before="0" w:after="0" w:line="276" w:lineRule="auto"/>
            </w:pPr>
            <w:r>
              <w:rPr>
                <w:color w:val="1F2937"/>
              </w:rPr>
              <w:t xml:space="preserve">Prediction and Forecasting</w:t>
            </w:r>
          </w:p>
        </w:tc>
        <w:tc>
          <w:tcPr>
            <w:tcW w:w="4200" w:type="dxa"/>
            <w:shd w:fill="F6FAFA"/>
            <w:tcMar>
              <w:top w:w="120" w:type="dxa"/>
              <w:left w:w="140" w:type="dxa"/>
              <w:bottom w:w="120" w:type="dxa"/>
              <w:right w:w="140" w:type="dxa"/>
            </w:tcMar>
            <w:vAlign w:val="center"/>
          </w:tcPr>
          <w:p>
            <w:pPr>
              <w:spacing w:before="0" w:after="0" w:line="276" w:lineRule="auto"/>
            </w:pPr>
            <w:r>
              <w:rPr>
                <w:color w:val="1F2937"/>
              </w:rPr>
              <w:t xml:space="preserve">Uses trained forecasting and risk models to estimate likely QoS degradation and time-to-breach.</w:t>
            </w:r>
          </w:p>
        </w:tc>
        <w:tc>
          <w:tcPr>
            <w:tcW w:w="2950" w:type="dxa"/>
            <w:shd w:fill="F6FAFA"/>
            <w:tcMar>
              <w:top w:w="120" w:type="dxa"/>
              <w:left w:w="140" w:type="dxa"/>
              <w:bottom w:w="120" w:type="dxa"/>
              <w:right w:w="140" w:type="dxa"/>
            </w:tcMar>
            <w:vAlign w:val="center"/>
          </w:tcPr>
          <w:p>
            <w:pPr>
              <w:spacing w:before="0" w:after="0" w:line="276" w:lineRule="auto"/>
            </w:pPr>
            <w:r>
              <w:rPr>
                <w:color w:val="1F2937"/>
              </w:rPr>
              <w:t xml:space="preserve">Moves the NOC from reactive monitoring to proactive prevention.</w:t>
            </w:r>
          </w:p>
        </w:tc>
      </w:tr>
      <w:tr>
        <w:tc>
          <w:tcPr>
            <w:tcW w:w="1850" w:type="dxa"/>
            <w:tcMar>
              <w:top w:w="120" w:type="dxa"/>
              <w:left w:w="140" w:type="dxa"/>
              <w:bottom w:w="120" w:type="dxa"/>
              <w:right w:w="140" w:type="dxa"/>
            </w:tcMar>
            <w:vAlign w:val="center"/>
          </w:tcPr>
          <w:p>
            <w:pPr>
              <w:spacing w:before="0" w:after="0" w:line="276" w:lineRule="auto"/>
            </w:pPr>
            <w:r>
              <w:rPr>
                <w:color w:val="1F2937"/>
              </w:rPr>
              <w:t xml:space="preserve">Root-Cause Diagnosis</w:t>
            </w:r>
          </w:p>
        </w:tc>
        <w:tc>
          <w:tcPr>
            <w:tcW w:w="4200" w:type="dxa"/>
            <w:tcMar>
              <w:top w:w="120" w:type="dxa"/>
              <w:left w:w="140" w:type="dxa"/>
              <w:bottom w:w="120" w:type="dxa"/>
              <w:right w:w="140" w:type="dxa"/>
            </w:tcMar>
            <w:vAlign w:val="center"/>
          </w:tcPr>
          <w:p>
            <w:pPr>
              <w:spacing w:before="0" w:after="0" w:line="276" w:lineRule="auto"/>
            </w:pPr>
            <w:r>
              <w:rPr>
                <w:color w:val="1F2937"/>
              </w:rPr>
              <w:t xml:space="preserve">Turns alerts into diagnostic contracts with likely causes, evidence, and contextual explanation.</w:t>
            </w:r>
          </w:p>
        </w:tc>
        <w:tc>
          <w:tcPr>
            <w:tcW w:w="2950" w:type="dxa"/>
            <w:tcMar>
              <w:top w:w="120" w:type="dxa"/>
              <w:left w:w="140" w:type="dxa"/>
              <w:bottom w:w="120" w:type="dxa"/>
              <w:right w:w="140" w:type="dxa"/>
            </w:tcMar>
            <w:vAlign w:val="center"/>
          </w:tcPr>
          <w:p>
            <w:pPr>
              <w:spacing w:before="0" w:after="0" w:line="276" w:lineRule="auto"/>
            </w:pPr>
            <w:r>
              <w:rPr>
                <w:color w:val="1F2937"/>
              </w:rPr>
              <w:t xml:space="preserve">Reduces triage time and gives engineers a stronger starting point.</w:t>
            </w:r>
          </w:p>
        </w:tc>
      </w:tr>
      <w:tr>
        <w:tc>
          <w:tcPr>
            <w:tcW w:w="1850" w:type="dxa"/>
            <w:shd w:fill="F6FAFA"/>
            <w:tcMar>
              <w:top w:w="120" w:type="dxa"/>
              <w:left w:w="140" w:type="dxa"/>
              <w:bottom w:w="120" w:type="dxa"/>
              <w:right w:w="140" w:type="dxa"/>
            </w:tcMar>
            <w:vAlign w:val="center"/>
          </w:tcPr>
          <w:p>
            <w:pPr>
              <w:spacing w:before="0" w:after="0" w:line="276" w:lineRule="auto"/>
            </w:pPr>
            <w:r>
              <w:rPr>
                <w:color w:val="1F2937"/>
              </w:rPr>
              <w:t xml:space="preserve">Optimization Recommendations</w:t>
            </w:r>
          </w:p>
        </w:tc>
        <w:tc>
          <w:tcPr>
            <w:tcW w:w="4200" w:type="dxa"/>
            <w:shd w:fill="F6FAFA"/>
            <w:tcMar>
              <w:top w:w="120" w:type="dxa"/>
              <w:left w:w="140" w:type="dxa"/>
              <w:bottom w:w="120" w:type="dxa"/>
              <w:right w:w="140" w:type="dxa"/>
            </w:tcMar>
            <w:vAlign w:val="center"/>
          </w:tcPr>
          <w:p>
            <w:pPr>
              <w:spacing w:before="0" w:after="0" w:line="276" w:lineRule="auto"/>
            </w:pPr>
            <w:r>
              <w:rPr>
                <w:color w:val="1F2937"/>
              </w:rPr>
              <w:t xml:space="preserve">Evaluates candidate remediation actions through policy gates and records decisions to MLflow.</w:t>
            </w:r>
          </w:p>
        </w:tc>
        <w:tc>
          <w:tcPr>
            <w:tcW w:w="2950" w:type="dxa"/>
            <w:shd w:fill="F6FAFA"/>
            <w:tcMar>
              <w:top w:w="120" w:type="dxa"/>
              <w:left w:w="140" w:type="dxa"/>
              <w:bottom w:w="120" w:type="dxa"/>
              <w:right w:w="140" w:type="dxa"/>
            </w:tcMar>
            <w:vAlign w:val="center"/>
          </w:tcPr>
          <w:p>
            <w:pPr>
              <w:spacing w:before="0" w:after="0" w:line="276" w:lineRule="auto"/>
            </w:pPr>
            <w:r>
              <w:rPr>
                <w:color w:val="1F2937"/>
              </w:rPr>
              <w:t xml:space="preserve">Supports safer, governed action instead of ad hoc remediation.</w:t>
            </w:r>
          </w:p>
        </w:tc>
      </w:tr>
      <w:tr>
        <w:tc>
          <w:tcPr>
            <w:tcW w:w="1850" w:type="dxa"/>
            <w:tcMar>
              <w:top w:w="120" w:type="dxa"/>
              <w:left w:w="140" w:type="dxa"/>
              <w:bottom w:w="120" w:type="dxa"/>
              <w:right w:w="140" w:type="dxa"/>
            </w:tcMar>
            <w:vAlign w:val="center"/>
          </w:tcPr>
          <w:p>
            <w:pPr>
              <w:spacing w:before="0" w:after="0" w:line="276" w:lineRule="auto"/>
            </w:pPr>
            <w:r>
              <w:rPr>
                <w:color w:val="1F2937"/>
              </w:rPr>
              <w:t xml:space="preserve">Incident Memory and RAG</w:t>
            </w:r>
          </w:p>
        </w:tc>
        <w:tc>
          <w:tcPr>
            <w:tcW w:w="4200" w:type="dxa"/>
            <w:tcMar>
              <w:top w:w="120" w:type="dxa"/>
              <w:left w:w="140" w:type="dxa"/>
              <w:bottom w:w="120" w:type="dxa"/>
              <w:right w:w="140" w:type="dxa"/>
            </w:tcMar>
            <w:vAlign w:val="center"/>
          </w:tcPr>
          <w:p>
            <w:pPr>
              <w:spacing w:before="0" w:after="0" w:line="276" w:lineRule="auto"/>
            </w:pPr>
            <w:r>
              <w:rPr>
                <w:color w:val="1F2937"/>
              </w:rPr>
              <w:t xml:space="preserve">Stores similar incidents in ChromaDB and retrieves relevant past cases for prediction and diagnosis context.</w:t>
            </w:r>
          </w:p>
        </w:tc>
        <w:tc>
          <w:tcPr>
            <w:tcW w:w="2950" w:type="dxa"/>
            <w:tcMar>
              <w:top w:w="120" w:type="dxa"/>
              <w:left w:w="140" w:type="dxa"/>
              <w:bottom w:w="120" w:type="dxa"/>
              <w:right w:w="140" w:type="dxa"/>
            </w:tcMar>
            <w:vAlign w:val="center"/>
          </w:tcPr>
          <w:p>
            <w:pPr>
              <w:spacing w:before="0" w:after="0" w:line="276" w:lineRule="auto"/>
            </w:pPr>
            <w:r>
              <w:rPr>
                <w:color w:val="1F2937"/>
              </w:rPr>
              <w:t xml:space="preserve">Preserves institutional knowledge and makes prior lessons reusable.</w:t>
            </w:r>
          </w:p>
        </w:tc>
      </w:tr>
      <w:tr>
        <w:tc>
          <w:tcPr>
            <w:tcW w:w="1850" w:type="dxa"/>
            <w:shd w:fill="F6FAFA"/>
            <w:tcMar>
              <w:top w:w="120" w:type="dxa"/>
              <w:left w:w="140" w:type="dxa"/>
              <w:bottom w:w="120" w:type="dxa"/>
              <w:right w:w="140" w:type="dxa"/>
            </w:tcMar>
            <w:vAlign w:val="center"/>
          </w:tcPr>
          <w:p>
            <w:pPr>
              <w:spacing w:before="0" w:after="0" w:line="276" w:lineRule="auto"/>
            </w:pPr>
            <w:r>
              <w:rPr>
                <w:color w:val="1F2937"/>
              </w:rPr>
              <w:t xml:space="preserve">Executive and Engineer Views</w:t>
            </w:r>
          </w:p>
        </w:tc>
        <w:tc>
          <w:tcPr>
            <w:tcW w:w="4200" w:type="dxa"/>
            <w:shd w:fill="F6FAFA"/>
            <w:tcMar>
              <w:top w:w="120" w:type="dxa"/>
              <w:left w:w="140" w:type="dxa"/>
              <w:bottom w:w="120" w:type="dxa"/>
              <w:right w:w="140" w:type="dxa"/>
            </w:tcMar>
            <w:vAlign w:val="center"/>
          </w:tcPr>
          <w:p>
            <w:pPr>
              <w:spacing w:before="0" w:after="0" w:line="276" w:lineRule="auto"/>
            </w:pPr>
            <w:r>
              <w:rPr>
                <w:color w:val="1F2937"/>
              </w:rPr>
              <w:t xml:space="preserve">Provides role-aware dashboard experiences for NOC leaders and AI engineers.</w:t>
            </w:r>
          </w:p>
        </w:tc>
        <w:tc>
          <w:tcPr>
            <w:tcW w:w="2950" w:type="dxa"/>
            <w:shd w:fill="F6FAFA"/>
            <w:tcMar>
              <w:top w:w="120" w:type="dxa"/>
              <w:left w:w="140" w:type="dxa"/>
              <w:bottom w:w="120" w:type="dxa"/>
              <w:right w:w="140" w:type="dxa"/>
            </w:tcMar>
            <w:vAlign w:val="center"/>
          </w:tcPr>
          <w:p>
            <w:pPr>
              <w:spacing w:before="0" w:after="0" w:line="276" w:lineRule="auto"/>
            </w:pPr>
            <w:r>
              <w:rPr>
                <w:color w:val="1F2937"/>
              </w:rPr>
              <w:t xml:space="preserve">Keeps executives focused on outcomes while engineers retain access to technical evidence.</w:t>
            </w:r>
          </w:p>
        </w:tc>
      </w:tr>
      <w:tr>
        <w:tc>
          <w:tcPr>
            <w:tcW w:w="1850" w:type="dxa"/>
            <w:tcMar>
              <w:top w:w="120" w:type="dxa"/>
              <w:left w:w="140" w:type="dxa"/>
              <w:bottom w:w="120" w:type="dxa"/>
              <w:right w:w="140" w:type="dxa"/>
            </w:tcMar>
            <w:vAlign w:val="center"/>
          </w:tcPr>
          <w:p>
            <w:pPr>
              <w:spacing w:before="0" w:after="0" w:line="276" w:lineRule="auto"/>
            </w:pPr>
            <w:r>
              <w:rPr>
                <w:color w:val="1F2937"/>
              </w:rPr>
              <w:t xml:space="preserve">MLflow Observability</w:t>
            </w:r>
          </w:p>
        </w:tc>
        <w:tc>
          <w:tcPr>
            <w:tcW w:w="4200" w:type="dxa"/>
            <w:tcMar>
              <w:top w:w="120" w:type="dxa"/>
              <w:left w:w="140" w:type="dxa"/>
              <w:bottom w:w="120" w:type="dxa"/>
              <w:right w:w="140" w:type="dxa"/>
            </w:tcMar>
            <w:vAlign w:val="center"/>
          </w:tcPr>
          <w:p>
            <w:pPr>
              <w:spacing w:before="0" w:after="0" w:line="276" w:lineRule="auto"/>
            </w:pPr>
            <w:r>
              <w:rPr>
                <w:color w:val="1F2937"/>
              </w:rPr>
              <w:t xml:space="preserve">Records optimization and prediction runs, metrics, traces, and artifacts.</w:t>
            </w:r>
          </w:p>
        </w:tc>
        <w:tc>
          <w:tcPr>
            <w:tcW w:w="2950" w:type="dxa"/>
            <w:tcMar>
              <w:top w:w="120" w:type="dxa"/>
              <w:left w:w="140" w:type="dxa"/>
              <w:bottom w:w="120" w:type="dxa"/>
              <w:right w:w="140" w:type="dxa"/>
            </w:tcMar>
            <w:vAlign w:val="center"/>
          </w:tcPr>
          <w:p>
            <w:pPr>
              <w:spacing w:before="0" w:after="0" w:line="276" w:lineRule="auto"/>
            </w:pPr>
            <w:r>
              <w:rPr>
                <w:color w:val="1F2937"/>
              </w:rPr>
              <w:t xml:space="preserve">Improves auditability, model governance, and trust in AI-assisted decisions.</w:t>
            </w:r>
          </w:p>
        </w:tc>
      </w:tr>
      <w:tr>
        <w:tc>
          <w:tcPr>
            <w:tcW w:w="1850" w:type="dxa"/>
            <w:shd w:fill="F6FAFA"/>
            <w:tcMar>
              <w:top w:w="120" w:type="dxa"/>
              <w:left w:w="140" w:type="dxa"/>
              <w:bottom w:w="120" w:type="dxa"/>
              <w:right w:w="140" w:type="dxa"/>
            </w:tcMar>
            <w:vAlign w:val="center"/>
          </w:tcPr>
          <w:p>
            <w:pPr>
              <w:spacing w:before="0" w:after="0" w:line="276" w:lineRule="auto"/>
            </w:pPr>
            <w:r>
              <w:rPr>
                <w:color w:val="1F2937"/>
              </w:rPr>
              <w:t xml:space="preserve">Reporting and Synthesis</w:t>
            </w:r>
          </w:p>
        </w:tc>
        <w:tc>
          <w:tcPr>
            <w:tcW w:w="4200" w:type="dxa"/>
            <w:shd w:fill="F6FAFA"/>
            <w:tcMar>
              <w:top w:w="120" w:type="dxa"/>
              <w:left w:w="140" w:type="dxa"/>
              <w:bottom w:w="120" w:type="dxa"/>
              <w:right w:w="140" w:type="dxa"/>
            </w:tcMar>
            <w:vAlign w:val="center"/>
          </w:tcPr>
          <w:p>
            <w:pPr>
              <w:spacing w:before="0" w:after="0" w:line="276" w:lineRule="auto"/>
            </w:pPr>
            <w:r>
              <w:rPr>
                <w:color w:val="1F2937"/>
              </w:rPr>
              <w:t xml:space="preserve">Aggregates system state into operator-ready summaries and reports.</w:t>
            </w:r>
          </w:p>
        </w:tc>
        <w:tc>
          <w:tcPr>
            <w:tcW w:w="2950" w:type="dxa"/>
            <w:shd w:fill="F6FAFA"/>
            <w:tcMar>
              <w:top w:w="120" w:type="dxa"/>
              <w:left w:w="140" w:type="dxa"/>
              <w:bottom w:w="120" w:type="dxa"/>
              <w:right w:w="140" w:type="dxa"/>
            </w:tcMar>
            <w:vAlign w:val="center"/>
          </w:tcPr>
          <w:p>
            <w:pPr>
              <w:spacing w:before="0" w:after="0" w:line="276" w:lineRule="auto"/>
            </w:pPr>
            <w:r>
              <w:rPr>
                <w:color w:val="1F2937"/>
              </w:rPr>
              <w:t xml:space="preserve">Cuts manual reporting work and improves stakeholder communication.</w:t>
            </w:r>
          </w:p>
        </w:tc>
      </w:tr>
    </w:tbl>
    <w:p>
      <w:pPr>
        <w:pStyle w:val="Heading1"/>
        <w:spacing w:before="0" w:after="160" w:line="276" w:lineRule="auto"/>
      </w:pPr>
      <w:r>
        <w:t xml:space="preserve">Added Value</w:t>
      </w:r>
    </w:p>
    <w:p>
      <w:pPr>
        <w:spacing w:before="0" w:after="160" w:line="276" w:lineRule="auto"/>
      </w:pPr>
      <w:r>
        <w:t xml:space="preserve">QoS Buddy is valuable because it connects intelligence to operations. It does not only predict risk; it explains risk, links it to similar historical incidents, recommends actions, and keeps a traceable record of what happened.</w:t>
      </w:r>
    </w:p>
    <w:tbl>
      <w:tblPr>
        <w:tblW w:w="0" w:type="auto"/>
        <w:tblBorders>
          <w:top w:val="single" w:sz="4" w:color="C7D2D1"/>
          <w:left w:val="single" w:sz="4" w:color="C7D2D1"/>
          <w:bottom w:val="single" w:sz="4" w:color="C7D2D1"/>
          <w:right w:val="single" w:sz="4" w:color="C7D2D1"/>
          <w:insideH w:val="single" w:sz="4" w:color="DDE7E6"/>
          <w:insideV w:val="single" w:sz="4" w:color="DDE7E6"/>
        </w:tblBorders>
        <w:tblCellMar>
          <w:top w:w="120" w:type="dxa"/>
          <w:left w:w="120" w:type="dxa"/>
          <w:bottom w:w="120" w:type="dxa"/>
          <w:right w:w="120" w:type="dxa"/>
        </w:tblCellMar>
      </w:tblPr>
      <w:tblGrid>
        <w:gridCol w:w="2500"/>
        <w:gridCol w:w="6500"/>
      </w:tblGrid>
      <w:tr>
        <w:tc>
          <w:tcPr>
            <w:tcW w:w="2500" w:type="dxa"/>
            <w:shd w:fill="123B3A"/>
            <w:tcMar>
              <w:top w:w="120" w:type="dxa"/>
              <w:left w:w="140" w:type="dxa"/>
              <w:bottom w:w="120" w:type="dxa"/>
              <w:right w:w="140" w:type="dxa"/>
            </w:tcMar>
            <w:vAlign w:val="center"/>
          </w:tcPr>
          <w:p>
            <w:pPr>
              <w:spacing w:before="0" w:after="0" w:line="276" w:lineRule="auto"/>
            </w:pPr>
            <w:r>
              <w:rPr>
                <w:b/>
                <w:color w:val="FFFFFF"/>
              </w:rPr>
              <w:t xml:space="preserve">Value area</w:t>
            </w:r>
          </w:p>
        </w:tc>
        <w:tc>
          <w:tcPr>
            <w:tcW w:w="6500" w:type="dxa"/>
            <w:shd w:fill="123B3A"/>
            <w:tcMar>
              <w:top w:w="120" w:type="dxa"/>
              <w:left w:w="140" w:type="dxa"/>
              <w:bottom w:w="120" w:type="dxa"/>
              <w:right w:w="140" w:type="dxa"/>
            </w:tcMar>
            <w:vAlign w:val="center"/>
          </w:tcPr>
          <w:p>
            <w:pPr>
              <w:spacing w:before="0" w:after="0" w:line="276" w:lineRule="auto"/>
            </w:pPr>
            <w:r>
              <w:rPr>
                <w:b/>
                <w:color w:val="FFFFFF"/>
              </w:rPr>
              <w:t xml:space="preserve">How QoS Buddy helps</w:t>
            </w:r>
          </w:p>
        </w:tc>
      </w:tr>
      <w:tr>
        <w:tc>
          <w:tcPr>
            <w:tcW w:w="2500" w:type="dxa"/>
            <w:shd w:fill="F6FAFA"/>
            <w:tcMar>
              <w:top w:w="120" w:type="dxa"/>
              <w:left w:w="140" w:type="dxa"/>
              <w:bottom w:w="120" w:type="dxa"/>
              <w:right w:w="140" w:type="dxa"/>
            </w:tcMar>
            <w:vAlign w:val="center"/>
          </w:tcPr>
          <w:p>
            <w:pPr>
              <w:spacing w:before="0" w:after="0" w:line="276" w:lineRule="auto"/>
            </w:pPr>
            <w:r>
              <w:rPr>
                <w:color w:val="1F2937"/>
              </w:rPr>
              <w:t xml:space="preserve">Earlier intervention</w:t>
            </w:r>
          </w:p>
        </w:tc>
        <w:tc>
          <w:tcPr>
            <w:tcW w:w="6500" w:type="dxa"/>
            <w:shd w:fill="F6FAFA"/>
            <w:tcMar>
              <w:top w:w="120" w:type="dxa"/>
              <w:left w:w="140" w:type="dxa"/>
              <w:bottom w:w="120" w:type="dxa"/>
              <w:right w:w="140" w:type="dxa"/>
            </w:tcMar>
            <w:vAlign w:val="center"/>
          </w:tcPr>
          <w:p>
            <w:pPr>
              <w:spacing w:before="0" w:after="0" w:line="276" w:lineRule="auto"/>
            </w:pPr>
            <w:r>
              <w:rPr>
                <w:color w:val="1F2937"/>
              </w:rPr>
              <w:t xml:space="preserve">Forecasts give teams time to act before a degradation becomes customer-visible.</w:t>
            </w:r>
          </w:p>
        </w:tc>
      </w:tr>
      <w:tr>
        <w:tc>
          <w:tcPr>
            <w:tcW w:w="2500" w:type="dxa"/>
            <w:tcMar>
              <w:top w:w="120" w:type="dxa"/>
              <w:left w:w="140" w:type="dxa"/>
              <w:bottom w:w="120" w:type="dxa"/>
              <w:right w:w="140" w:type="dxa"/>
            </w:tcMar>
            <w:vAlign w:val="center"/>
          </w:tcPr>
          <w:p>
            <w:pPr>
              <w:spacing w:before="0" w:after="0" w:line="276" w:lineRule="auto"/>
            </w:pPr>
            <w:r>
              <w:rPr>
                <w:color w:val="1F2937"/>
              </w:rPr>
              <w:t xml:space="preserve">Faster triage</w:t>
            </w:r>
          </w:p>
        </w:tc>
        <w:tc>
          <w:tcPr>
            <w:tcW w:w="6500" w:type="dxa"/>
            <w:tcMar>
              <w:top w:w="120" w:type="dxa"/>
              <w:left w:w="140" w:type="dxa"/>
              <w:bottom w:w="120" w:type="dxa"/>
              <w:right w:w="140" w:type="dxa"/>
            </w:tcMar>
            <w:vAlign w:val="center"/>
          </w:tcPr>
          <w:p>
            <w:pPr>
              <w:spacing w:before="0" w:after="0" w:line="276" w:lineRule="auto"/>
            </w:pPr>
            <w:r>
              <w:rPr>
                <w:color w:val="1F2937"/>
              </w:rPr>
              <w:t xml:space="preserve">Detection, diagnosis, and incident retrieval reduce the time spent hunting through fragmented tools.</w:t>
            </w:r>
          </w:p>
        </w:tc>
      </w:tr>
      <w:tr>
        <w:tc>
          <w:tcPr>
            <w:tcW w:w="2500" w:type="dxa"/>
            <w:shd w:fill="F6FAFA"/>
            <w:tcMar>
              <w:top w:w="120" w:type="dxa"/>
              <w:left w:w="140" w:type="dxa"/>
              <w:bottom w:w="120" w:type="dxa"/>
              <w:right w:w="140" w:type="dxa"/>
            </w:tcMar>
            <w:vAlign w:val="center"/>
          </w:tcPr>
          <w:p>
            <w:pPr>
              <w:spacing w:before="0" w:after="0" w:line="276" w:lineRule="auto"/>
            </w:pPr>
            <w:r>
              <w:rPr>
                <w:color w:val="1F2937"/>
              </w:rPr>
              <w:t xml:space="preserve">Operational consistency</w:t>
            </w:r>
          </w:p>
        </w:tc>
        <w:tc>
          <w:tcPr>
            <w:tcW w:w="6500" w:type="dxa"/>
            <w:shd w:fill="F6FAFA"/>
            <w:tcMar>
              <w:top w:w="120" w:type="dxa"/>
              <w:left w:w="140" w:type="dxa"/>
              <w:bottom w:w="120" w:type="dxa"/>
              <w:right w:w="140" w:type="dxa"/>
            </w:tcMar>
            <w:vAlign w:val="center"/>
          </w:tcPr>
          <w:p>
            <w:pPr>
              <w:spacing w:before="0" w:after="0" w:line="276" w:lineRule="auto"/>
            </w:pPr>
            <w:r>
              <w:rPr>
                <w:color w:val="1F2937"/>
              </w:rPr>
              <w:t xml:space="preserve">Policy-gated optimization makes decisions more repeatable and less dependent on individual judgment under pressure.</w:t>
            </w:r>
          </w:p>
        </w:tc>
      </w:tr>
      <w:tr>
        <w:tc>
          <w:tcPr>
            <w:tcW w:w="2500" w:type="dxa"/>
            <w:tcMar>
              <w:top w:w="120" w:type="dxa"/>
              <w:left w:w="140" w:type="dxa"/>
              <w:bottom w:w="120" w:type="dxa"/>
              <w:right w:w="140" w:type="dxa"/>
            </w:tcMar>
            <w:vAlign w:val="center"/>
          </w:tcPr>
          <w:p>
            <w:pPr>
              <w:spacing w:before="0" w:after="0" w:line="276" w:lineRule="auto"/>
            </w:pPr>
            <w:r>
              <w:rPr>
                <w:color w:val="1F2937"/>
              </w:rPr>
              <w:t xml:space="preserve">Knowledge retention</w:t>
            </w:r>
          </w:p>
        </w:tc>
        <w:tc>
          <w:tcPr>
            <w:tcW w:w="6500" w:type="dxa"/>
            <w:tcMar>
              <w:top w:w="120" w:type="dxa"/>
              <w:left w:w="140" w:type="dxa"/>
              <w:bottom w:w="120" w:type="dxa"/>
              <w:right w:w="140" w:type="dxa"/>
            </w:tcMar>
            <w:vAlign w:val="center"/>
          </w:tcPr>
          <w:p>
            <w:pPr>
              <w:spacing w:before="0" w:after="0" w:line="276" w:lineRule="auto"/>
            </w:pPr>
            <w:r>
              <w:rPr>
                <w:color w:val="1F2937"/>
              </w:rPr>
              <w:t xml:space="preserve">ChromaDB incident memory keeps lessons available for future cases, even as teams rotate.</w:t>
            </w:r>
          </w:p>
        </w:tc>
      </w:tr>
      <w:tr>
        <w:tc>
          <w:tcPr>
            <w:tcW w:w="2500" w:type="dxa"/>
            <w:shd w:fill="F6FAFA"/>
            <w:tcMar>
              <w:top w:w="120" w:type="dxa"/>
              <w:left w:w="140" w:type="dxa"/>
              <w:bottom w:w="120" w:type="dxa"/>
              <w:right w:w="140" w:type="dxa"/>
            </w:tcMar>
            <w:vAlign w:val="center"/>
          </w:tcPr>
          <w:p>
            <w:pPr>
              <w:spacing w:before="0" w:after="0" w:line="276" w:lineRule="auto"/>
            </w:pPr>
            <w:r>
              <w:rPr>
                <w:color w:val="1F2937"/>
              </w:rPr>
              <w:t xml:space="preserve">AI trust and governance</w:t>
            </w:r>
          </w:p>
        </w:tc>
        <w:tc>
          <w:tcPr>
            <w:tcW w:w="6500" w:type="dxa"/>
            <w:shd w:fill="F6FAFA"/>
            <w:tcMar>
              <w:top w:w="120" w:type="dxa"/>
              <w:left w:w="140" w:type="dxa"/>
              <w:bottom w:w="120" w:type="dxa"/>
              <w:right w:w="140" w:type="dxa"/>
            </w:tcMar>
            <w:vAlign w:val="center"/>
          </w:tcPr>
          <w:p>
            <w:pPr>
              <w:spacing w:before="0" w:after="0" w:line="276" w:lineRule="auto"/>
            </w:pPr>
            <w:r>
              <w:rPr>
                <w:color w:val="1F2937"/>
              </w:rPr>
              <w:t xml:space="preserve">MLflow records prediction and optimization evidence, making AI behavior easier to review.</w:t>
            </w:r>
          </w:p>
        </w:tc>
      </w:tr>
      <w:tr>
        <w:tc>
          <w:tcPr>
            <w:tcW w:w="2500" w:type="dxa"/>
            <w:tcMar>
              <w:top w:w="120" w:type="dxa"/>
              <w:left w:w="140" w:type="dxa"/>
              <w:bottom w:w="120" w:type="dxa"/>
              <w:right w:w="140" w:type="dxa"/>
            </w:tcMar>
            <w:vAlign w:val="center"/>
          </w:tcPr>
          <w:p>
            <w:pPr>
              <w:spacing w:before="0" w:after="0" w:line="276" w:lineRule="auto"/>
            </w:pPr>
            <w:r>
              <w:rPr>
                <w:color w:val="1F2937"/>
              </w:rPr>
              <w:t xml:space="preserve">Executive clarity</w:t>
            </w:r>
          </w:p>
        </w:tc>
        <w:tc>
          <w:tcPr>
            <w:tcW w:w="6500" w:type="dxa"/>
            <w:tcMar>
              <w:top w:w="120" w:type="dxa"/>
              <w:left w:w="140" w:type="dxa"/>
              <w:bottom w:w="120" w:type="dxa"/>
              <w:right w:w="140" w:type="dxa"/>
            </w:tcMar>
            <w:vAlign w:val="center"/>
          </w:tcPr>
          <w:p>
            <w:pPr>
              <w:spacing w:before="0" w:after="0" w:line="276" w:lineRule="auto"/>
            </w:pPr>
            <w:r>
              <w:rPr>
                <w:color w:val="1F2937"/>
              </w:rPr>
              <w:t xml:space="preserve">Role-specific views translate technical conditions into business-relevant status and decisions.</w:t>
            </w:r>
          </w:p>
        </w:tc>
      </w:tr>
    </w:tbl>
    <w:p>
      <w:pPr>
        <w:pStyle w:val="Heading2"/>
        <w:spacing w:before="0" w:after="160" w:line="276" w:lineRule="auto"/>
      </w:pPr>
      <w:r>
        <w:t xml:space="preserve">Why It Is Different</w:t>
      </w:r>
    </w:p>
    <w:p>
      <w:pPr>
        <w:pStyle w:val="BodyText"/>
        <w:numPr>
          <w:ilvl w:val="0"/>
          <w:numId w:val="1"/>
        </w:numPr>
        <w:spacing w:after="120" w:line="276" w:lineRule="auto"/>
      </w:pPr>
      <w:r>
        <w:t xml:space="preserve">It is agent-based: each function has a clear responsibility, from monitoring to reporting.</w:t>
      </w:r>
    </w:p>
    <w:p>
      <w:pPr>
        <w:pStyle w:val="BodyText"/>
        <w:numPr>
          <w:ilvl w:val="0"/>
          <w:numId w:val="1"/>
        </w:numPr>
        <w:spacing w:after="120" w:line="276" w:lineRule="auto"/>
      </w:pPr>
      <w:r>
        <w:t xml:space="preserve">It is event-driven: live telemetry moves through Redis streams and activates downstream intelligence automatically.</w:t>
      </w:r>
    </w:p>
    <w:p>
      <w:pPr>
        <w:pStyle w:val="BodyText"/>
        <w:numPr>
          <w:ilvl w:val="0"/>
          <w:numId w:val="1"/>
        </w:numPr>
        <w:spacing w:after="120" w:line="276" w:lineRule="auto"/>
      </w:pPr>
      <w:r>
        <w:t xml:space="preserve">It is evidence-oriented: decisions are supported by model outputs, diagnostic context, artifacts, and similar incidents.</w:t>
      </w:r>
    </w:p>
    <w:p>
      <w:pPr>
        <w:pStyle w:val="BodyText"/>
        <w:numPr>
          <w:ilvl w:val="0"/>
          <w:numId w:val="1"/>
        </w:numPr>
        <w:spacing w:after="120" w:line="276" w:lineRule="auto"/>
      </w:pPr>
      <w:r>
        <w:t xml:space="preserve">It is operator-centered: the dashboard is designed for NOC workflows, not just model experimentation.</w:t>
      </w:r>
    </w:p>
    <w:p>
      <w:r>
        <w:br w:type="page"/>
      </w:r>
    </w:p>
    <w:p>
      <w:pPr>
        <w:pStyle w:val="Heading1"/>
        <w:spacing w:before="0" w:after="160" w:line="276" w:lineRule="auto"/>
      </w:pPr>
      <w:r>
        <w:t xml:space="preserve">How Teams Use QoS Buddy</w:t>
      </w:r>
    </w:p>
    <w:tbl>
      <w:tblPr>
        <w:tblW w:w="0" w:type="auto"/>
        <w:tblBorders>
          <w:top w:val="single" w:sz="4" w:color="C7D2D1"/>
          <w:left w:val="single" w:sz="4" w:color="C7D2D1"/>
          <w:bottom w:val="single" w:sz="4" w:color="C7D2D1"/>
          <w:right w:val="single" w:sz="4" w:color="C7D2D1"/>
          <w:insideH w:val="single" w:sz="4" w:color="DDE7E6"/>
          <w:insideV w:val="single" w:sz="4" w:color="DDE7E6"/>
        </w:tblBorders>
        <w:tblCellMar>
          <w:top w:w="120" w:type="dxa"/>
          <w:left w:w="120" w:type="dxa"/>
          <w:bottom w:w="120" w:type="dxa"/>
          <w:right w:w="120" w:type="dxa"/>
        </w:tblCellMar>
      </w:tblPr>
      <w:tblGrid>
        <w:gridCol w:w="1050"/>
        <w:gridCol w:w="3800"/>
        <w:gridCol w:w="4150"/>
      </w:tblGrid>
      <w:tr>
        <w:tc>
          <w:tcPr>
            <w:tcW w:w="1050" w:type="dxa"/>
            <w:shd w:fill="123B3A"/>
            <w:tcMar>
              <w:top w:w="120" w:type="dxa"/>
              <w:left w:w="140" w:type="dxa"/>
              <w:bottom w:w="120" w:type="dxa"/>
              <w:right w:w="140" w:type="dxa"/>
            </w:tcMar>
            <w:vAlign w:val="center"/>
          </w:tcPr>
          <w:p>
            <w:pPr>
              <w:spacing w:before="0" w:after="0" w:line="276" w:lineRule="auto"/>
            </w:pPr>
            <w:r>
              <w:rPr>
                <w:b/>
                <w:color w:val="FFFFFF"/>
              </w:rPr>
              <w:t xml:space="preserve">Step</w:t>
            </w:r>
          </w:p>
        </w:tc>
        <w:tc>
          <w:tcPr>
            <w:tcW w:w="3800" w:type="dxa"/>
            <w:shd w:fill="123B3A"/>
            <w:tcMar>
              <w:top w:w="120" w:type="dxa"/>
              <w:left w:w="140" w:type="dxa"/>
              <w:bottom w:w="120" w:type="dxa"/>
              <w:right w:w="140" w:type="dxa"/>
            </w:tcMar>
            <w:vAlign w:val="center"/>
          </w:tcPr>
          <w:p>
            <w:pPr>
              <w:spacing w:before="0" w:after="0" w:line="276" w:lineRule="auto"/>
            </w:pPr>
            <w:r>
              <w:rPr>
                <w:b/>
                <w:color w:val="FFFFFF"/>
              </w:rPr>
              <w:t xml:space="preserve">Operator experience</w:t>
            </w:r>
          </w:p>
        </w:tc>
        <w:tc>
          <w:tcPr>
            <w:tcW w:w="4150" w:type="dxa"/>
            <w:shd w:fill="123B3A"/>
            <w:tcMar>
              <w:top w:w="120" w:type="dxa"/>
              <w:left w:w="140" w:type="dxa"/>
              <w:bottom w:w="120" w:type="dxa"/>
              <w:right w:w="140" w:type="dxa"/>
            </w:tcMar>
            <w:vAlign w:val="center"/>
          </w:tcPr>
          <w:p>
            <w:pPr>
              <w:spacing w:before="0" w:after="0" w:line="276" w:lineRule="auto"/>
            </w:pPr>
            <w:r>
              <w:rPr>
                <w:b/>
                <w:color w:val="FFFFFF"/>
              </w:rPr>
              <w:t xml:space="preserve">Behind the scenes</w:t>
            </w:r>
          </w:p>
        </w:tc>
      </w:tr>
      <w:tr>
        <w:tc>
          <w:tcPr>
            <w:tcW w:w="1050" w:type="dxa"/>
            <w:shd w:fill="F6FAFA"/>
            <w:tcMar>
              <w:top w:w="120" w:type="dxa"/>
              <w:left w:w="140" w:type="dxa"/>
              <w:bottom w:w="120" w:type="dxa"/>
              <w:right w:w="140" w:type="dxa"/>
            </w:tcMar>
            <w:vAlign w:val="center"/>
          </w:tcPr>
          <w:p>
            <w:pPr>
              <w:spacing w:before="0" w:after="0" w:line="276" w:lineRule="auto"/>
            </w:pPr>
            <w:r>
              <w:rPr>
                <w:color w:val="1F2937"/>
              </w:rPr>
              <w:t xml:space="preserve">1. Observe</w:t>
            </w:r>
          </w:p>
        </w:tc>
        <w:tc>
          <w:tcPr>
            <w:tcW w:w="3800" w:type="dxa"/>
            <w:shd w:fill="F6FAFA"/>
            <w:tcMar>
              <w:top w:w="120" w:type="dxa"/>
              <w:left w:w="140" w:type="dxa"/>
              <w:bottom w:w="120" w:type="dxa"/>
              <w:right w:w="140" w:type="dxa"/>
            </w:tcMar>
            <w:vAlign w:val="center"/>
          </w:tcPr>
          <w:p>
            <w:pPr>
              <w:spacing w:before="0" w:after="0" w:line="276" w:lineRule="auto"/>
            </w:pPr>
            <w:r>
              <w:rPr>
                <w:color w:val="1F2937"/>
              </w:rPr>
              <w:t xml:space="preserve">The dashboard shows live QoS metrics and pipeline activity.</w:t>
            </w:r>
          </w:p>
        </w:tc>
        <w:tc>
          <w:tcPr>
            <w:tcW w:w="4150" w:type="dxa"/>
            <w:shd w:fill="F6FAFA"/>
            <w:tcMar>
              <w:top w:w="120" w:type="dxa"/>
              <w:left w:w="140" w:type="dxa"/>
              <w:bottom w:w="120" w:type="dxa"/>
              <w:right w:w="140" w:type="dxa"/>
            </w:tcMar>
            <w:vAlign w:val="center"/>
          </w:tcPr>
          <w:p>
            <w:pPr>
              <w:spacing w:before="0" w:after="0" w:line="276" w:lineRule="auto"/>
            </w:pPr>
            <w:r>
              <w:rPr>
                <w:color w:val="1F2937"/>
              </w:rPr>
              <w:t xml:space="preserve">Monitoring publishes raw metric events to Redis.</w:t>
            </w:r>
          </w:p>
        </w:tc>
      </w:tr>
      <w:tr>
        <w:tc>
          <w:tcPr>
            <w:tcW w:w="1050" w:type="dxa"/>
            <w:tcMar>
              <w:top w:w="120" w:type="dxa"/>
              <w:left w:w="140" w:type="dxa"/>
              <w:bottom w:w="120" w:type="dxa"/>
              <w:right w:w="140" w:type="dxa"/>
            </w:tcMar>
            <w:vAlign w:val="center"/>
          </w:tcPr>
          <w:p>
            <w:pPr>
              <w:spacing w:before="0" w:after="0" w:line="276" w:lineRule="auto"/>
            </w:pPr>
            <w:r>
              <w:rPr>
                <w:color w:val="1F2937"/>
              </w:rPr>
              <w:t xml:space="preserve">2. Detect</w:t>
            </w:r>
          </w:p>
        </w:tc>
        <w:tc>
          <w:tcPr>
            <w:tcW w:w="3800" w:type="dxa"/>
            <w:tcMar>
              <w:top w:w="120" w:type="dxa"/>
              <w:left w:w="140" w:type="dxa"/>
              <w:bottom w:w="120" w:type="dxa"/>
              <w:right w:w="140" w:type="dxa"/>
            </w:tcMar>
            <w:vAlign w:val="center"/>
          </w:tcPr>
          <w:p>
            <w:pPr>
              <w:spacing w:before="0" w:after="0" w:line="276" w:lineRule="auto"/>
            </w:pPr>
            <w:r>
              <w:rPr>
                <w:color w:val="1F2937"/>
              </w:rPr>
              <w:t xml:space="preserve">Alerts surface when service quality begins to drift.</w:t>
            </w:r>
          </w:p>
        </w:tc>
        <w:tc>
          <w:tcPr>
            <w:tcW w:w="4150" w:type="dxa"/>
            <w:tcMar>
              <w:top w:w="120" w:type="dxa"/>
              <w:left w:w="140" w:type="dxa"/>
              <w:bottom w:w="120" w:type="dxa"/>
              <w:right w:w="140" w:type="dxa"/>
            </w:tcMar>
            <w:vAlign w:val="center"/>
          </w:tcPr>
          <w:p>
            <w:pPr>
              <w:spacing w:before="0" w:after="0" w:line="276" w:lineRule="auto"/>
            </w:pPr>
            <w:r>
              <w:rPr>
                <w:color w:val="1F2937"/>
              </w:rPr>
              <w:t xml:space="preserve">Detection scores incoming metrics and emits anomaly alerts.</w:t>
            </w:r>
          </w:p>
        </w:tc>
      </w:tr>
      <w:tr>
        <w:tc>
          <w:tcPr>
            <w:tcW w:w="1050" w:type="dxa"/>
            <w:shd w:fill="F6FAFA"/>
            <w:tcMar>
              <w:top w:w="120" w:type="dxa"/>
              <w:left w:w="140" w:type="dxa"/>
              <w:bottom w:w="120" w:type="dxa"/>
              <w:right w:w="140" w:type="dxa"/>
            </w:tcMar>
            <w:vAlign w:val="center"/>
          </w:tcPr>
          <w:p>
            <w:pPr>
              <w:spacing w:before="0" w:after="0" w:line="276" w:lineRule="auto"/>
            </w:pPr>
            <w:r>
              <w:rPr>
                <w:color w:val="1F2937"/>
              </w:rPr>
              <w:t xml:space="preserve">3. Diagnose</w:t>
            </w:r>
          </w:p>
        </w:tc>
        <w:tc>
          <w:tcPr>
            <w:tcW w:w="3800" w:type="dxa"/>
            <w:shd w:fill="F6FAFA"/>
            <w:tcMar>
              <w:top w:w="120" w:type="dxa"/>
              <w:left w:w="140" w:type="dxa"/>
              <w:bottom w:w="120" w:type="dxa"/>
              <w:right w:w="140" w:type="dxa"/>
            </w:tcMar>
            <w:vAlign w:val="center"/>
          </w:tcPr>
          <w:p>
            <w:pPr>
              <w:spacing w:before="0" w:after="0" w:line="276" w:lineRule="auto"/>
            </w:pPr>
            <w:r>
              <w:rPr>
                <w:color w:val="1F2937"/>
              </w:rPr>
              <w:t xml:space="preserve">Operators see likely root causes and supporting context.</w:t>
            </w:r>
          </w:p>
        </w:tc>
        <w:tc>
          <w:tcPr>
            <w:tcW w:w="4150" w:type="dxa"/>
            <w:shd w:fill="F6FAFA"/>
            <w:tcMar>
              <w:top w:w="120" w:type="dxa"/>
              <w:left w:w="140" w:type="dxa"/>
              <w:bottom w:w="120" w:type="dxa"/>
              <w:right w:w="140" w:type="dxa"/>
            </w:tcMar>
            <w:vAlign w:val="center"/>
          </w:tcPr>
          <w:p>
            <w:pPr>
              <w:spacing w:before="0" w:after="0" w:line="276" w:lineRule="auto"/>
            </w:pPr>
            <w:r>
              <w:rPr>
                <w:color w:val="1F2937"/>
              </w:rPr>
              <w:t xml:space="preserve">Diagnostic agents combine alert context, model outputs, and memory search.</w:t>
            </w:r>
          </w:p>
        </w:tc>
      </w:tr>
      <w:tr>
        <w:tc>
          <w:tcPr>
            <w:tcW w:w="1050" w:type="dxa"/>
            <w:tcMar>
              <w:top w:w="120" w:type="dxa"/>
              <w:left w:w="140" w:type="dxa"/>
              <w:bottom w:w="120" w:type="dxa"/>
              <w:right w:w="140" w:type="dxa"/>
            </w:tcMar>
            <w:vAlign w:val="center"/>
          </w:tcPr>
          <w:p>
            <w:pPr>
              <w:spacing w:before="0" w:after="0" w:line="276" w:lineRule="auto"/>
            </w:pPr>
            <w:r>
              <w:rPr>
                <w:color w:val="1F2937"/>
              </w:rPr>
              <w:t xml:space="preserve">4. Predict</w:t>
            </w:r>
          </w:p>
        </w:tc>
        <w:tc>
          <w:tcPr>
            <w:tcW w:w="3800" w:type="dxa"/>
            <w:tcMar>
              <w:top w:w="120" w:type="dxa"/>
              <w:left w:w="140" w:type="dxa"/>
              <w:bottom w:w="120" w:type="dxa"/>
              <w:right w:w="140" w:type="dxa"/>
            </w:tcMar>
            <w:vAlign w:val="center"/>
          </w:tcPr>
          <w:p>
            <w:pPr>
              <w:spacing w:before="0" w:after="0" w:line="276" w:lineRule="auto"/>
            </w:pPr>
            <w:r>
              <w:rPr>
                <w:color w:val="1F2937"/>
              </w:rPr>
              <w:t xml:space="preserve">Forecasts show future risk and estimated time to breach.</w:t>
            </w:r>
          </w:p>
        </w:tc>
        <w:tc>
          <w:tcPr>
            <w:tcW w:w="4150" w:type="dxa"/>
            <w:tcMar>
              <w:top w:w="120" w:type="dxa"/>
              <w:left w:w="140" w:type="dxa"/>
              <w:bottom w:w="120" w:type="dxa"/>
              <w:right w:w="140" w:type="dxa"/>
            </w:tcMar>
            <w:vAlign w:val="center"/>
          </w:tcPr>
          <w:p>
            <w:pPr>
              <w:spacing w:before="0" w:after="0" w:line="276" w:lineRule="auto"/>
            </w:pPr>
            <w:r>
              <w:rPr>
                <w:color w:val="1F2937"/>
              </w:rPr>
              <w:t xml:space="preserve">Prediction models process buffered metric windows and log inference runs.</w:t>
            </w:r>
          </w:p>
        </w:tc>
      </w:tr>
      <w:tr>
        <w:tc>
          <w:tcPr>
            <w:tcW w:w="1050" w:type="dxa"/>
            <w:shd w:fill="F6FAFA"/>
            <w:tcMar>
              <w:top w:w="120" w:type="dxa"/>
              <w:left w:w="140" w:type="dxa"/>
              <w:bottom w:w="120" w:type="dxa"/>
              <w:right w:w="140" w:type="dxa"/>
            </w:tcMar>
            <w:vAlign w:val="center"/>
          </w:tcPr>
          <w:p>
            <w:pPr>
              <w:spacing w:before="0" w:after="0" w:line="276" w:lineRule="auto"/>
            </w:pPr>
            <w:r>
              <w:rPr>
                <w:color w:val="1F2937"/>
              </w:rPr>
              <w:t xml:space="preserve">5. Optimize</w:t>
            </w:r>
          </w:p>
        </w:tc>
        <w:tc>
          <w:tcPr>
            <w:tcW w:w="3800" w:type="dxa"/>
            <w:shd w:fill="F6FAFA"/>
            <w:tcMar>
              <w:top w:w="120" w:type="dxa"/>
              <w:left w:w="140" w:type="dxa"/>
              <w:bottom w:w="120" w:type="dxa"/>
              <w:right w:w="140" w:type="dxa"/>
            </w:tcMar>
            <w:vAlign w:val="center"/>
          </w:tcPr>
          <w:p>
            <w:pPr>
              <w:spacing w:before="0" w:after="0" w:line="276" w:lineRule="auto"/>
            </w:pPr>
            <w:r>
              <w:rPr>
                <w:color w:val="1F2937"/>
              </w:rPr>
              <w:t xml:space="preserve">Recommended actions are presented with policy-aware approval flow.</w:t>
            </w:r>
          </w:p>
        </w:tc>
        <w:tc>
          <w:tcPr>
            <w:tcW w:w="4150" w:type="dxa"/>
            <w:shd w:fill="F6FAFA"/>
            <w:tcMar>
              <w:top w:w="120" w:type="dxa"/>
              <w:left w:w="140" w:type="dxa"/>
              <w:bottom w:w="120" w:type="dxa"/>
              <w:right w:w="140" w:type="dxa"/>
            </w:tcMar>
            <w:vAlign w:val="center"/>
          </w:tcPr>
          <w:p>
            <w:pPr>
              <w:spacing w:before="0" w:after="0" w:line="276" w:lineRule="auto"/>
            </w:pPr>
            <w:r>
              <w:rPr>
                <w:color w:val="1F2937"/>
              </w:rPr>
              <w:t xml:space="preserve">Optimization evaluates decisions and records traces, metrics, and artifacts.</w:t>
            </w:r>
          </w:p>
        </w:tc>
      </w:tr>
      <w:tr>
        <w:tc>
          <w:tcPr>
            <w:tcW w:w="1050" w:type="dxa"/>
            <w:tcMar>
              <w:top w:w="120" w:type="dxa"/>
              <w:left w:w="140" w:type="dxa"/>
              <w:bottom w:w="120" w:type="dxa"/>
              <w:right w:w="140" w:type="dxa"/>
            </w:tcMar>
            <w:vAlign w:val="center"/>
          </w:tcPr>
          <w:p>
            <w:pPr>
              <w:spacing w:before="0" w:after="0" w:line="276" w:lineRule="auto"/>
            </w:pPr>
            <w:r>
              <w:rPr>
                <w:color w:val="1F2937"/>
              </w:rPr>
              <w:t xml:space="preserve">6. Report</w:t>
            </w:r>
          </w:p>
        </w:tc>
        <w:tc>
          <w:tcPr>
            <w:tcW w:w="3800" w:type="dxa"/>
            <w:tcMar>
              <w:top w:w="120" w:type="dxa"/>
              <w:left w:w="140" w:type="dxa"/>
              <w:bottom w:w="120" w:type="dxa"/>
              <w:right w:w="140" w:type="dxa"/>
            </w:tcMar>
            <w:vAlign w:val="center"/>
          </w:tcPr>
          <w:p>
            <w:pPr>
              <w:spacing w:before="0" w:after="0" w:line="276" w:lineRule="auto"/>
            </w:pPr>
            <w:r>
              <w:rPr>
                <w:color w:val="1F2937"/>
              </w:rPr>
              <w:t xml:space="preserve">Teams generate concise summaries for operations and leadership.</w:t>
            </w:r>
          </w:p>
        </w:tc>
        <w:tc>
          <w:tcPr>
            <w:tcW w:w="4150" w:type="dxa"/>
            <w:tcMar>
              <w:top w:w="120" w:type="dxa"/>
              <w:left w:w="140" w:type="dxa"/>
              <w:bottom w:w="120" w:type="dxa"/>
              <w:right w:w="140" w:type="dxa"/>
            </w:tcMar>
            <w:vAlign w:val="center"/>
          </w:tcPr>
          <w:p>
            <w:pPr>
              <w:spacing w:before="0" w:after="0" w:line="276" w:lineRule="auto"/>
            </w:pPr>
            <w:r>
              <w:rPr>
                <w:color w:val="1F2937"/>
              </w:rPr>
              <w:t xml:space="preserve">Synthesis and reporting aggregate the live state.</w:t>
            </w:r>
          </w:p>
        </w:tc>
      </w:tr>
    </w:tbl>
    <w:p>
      <w:pPr>
        <w:pStyle w:val="Heading2"/>
        <w:spacing w:before="0" w:after="160" w:line="276" w:lineRule="auto"/>
      </w:pPr>
      <w:r>
        <w:t xml:space="preserve">Typical Use Cases</w:t>
      </w:r>
    </w:p>
    <w:p>
      <w:pPr>
        <w:pStyle w:val="BodyText"/>
        <w:numPr>
          <w:ilvl w:val="0"/>
          <w:numId w:val="1"/>
        </w:numPr>
        <w:spacing w:after="120" w:line="276" w:lineRule="auto"/>
      </w:pPr>
      <w:r>
        <w:t xml:space="preserve">Proactive degradation prevention for mobile, Wi-Fi, enterprise, or hybrid network environments.</w:t>
      </w:r>
    </w:p>
    <w:p>
      <w:pPr>
        <w:pStyle w:val="BodyText"/>
        <w:numPr>
          <w:ilvl w:val="0"/>
          <w:numId w:val="1"/>
        </w:numPr>
        <w:spacing w:after="120" w:line="276" w:lineRule="auto"/>
      </w:pPr>
      <w:r>
        <w:t xml:space="preserve">NOC command center visibility across monitoring, AI models, incidents, and remediation decisions.</w:t>
      </w:r>
    </w:p>
    <w:p>
      <w:pPr>
        <w:pStyle w:val="BodyText"/>
        <w:numPr>
          <w:ilvl w:val="0"/>
          <w:numId w:val="1"/>
        </w:numPr>
        <w:spacing w:after="120" w:line="276" w:lineRule="auto"/>
      </w:pPr>
      <w:r>
        <w:t xml:space="preserve">AI-assisted root-cause triage for recurring QoS problems such as congestion, jitter, low throughput, packet loss, and voice quality degradation.</w:t>
      </w:r>
    </w:p>
    <w:p>
      <w:pPr>
        <w:pStyle w:val="BodyText"/>
        <w:numPr>
          <w:ilvl w:val="0"/>
          <w:numId w:val="1"/>
        </w:numPr>
        <w:spacing w:after="120" w:line="276" w:lineRule="auto"/>
      </w:pPr>
      <w:r>
        <w:t xml:space="preserve">Operational reporting for incident reviews, executive updates, and engineering handoffs.</w:t>
      </w:r>
    </w:p>
    <w:p>
      <w:pPr>
        <w:pStyle w:val="BodyText"/>
        <w:numPr>
          <w:ilvl w:val="0"/>
          <w:numId w:val="1"/>
        </w:numPr>
        <w:spacing w:after="120" w:line="276" w:lineRule="auto"/>
      </w:pPr>
      <w:r>
        <w:t xml:space="preserve">Model governance demonstrations where every prediction and optimization decision needs traceable evidence.</w:t>
      </w:r>
    </w:p>
    <w:p>
      <w:pPr>
        <w:pStyle w:val="Heading1"/>
        <w:spacing w:before="0" w:after="160" w:line="276" w:lineRule="auto"/>
      </w:pPr>
      <w:r>
        <w:t xml:space="preserve">Why Choose QoS Buddy?</w:t>
      </w:r>
    </w:p>
    <w:p>
      <w:pPr>
        <w:spacing w:before="0" w:after="160" w:line="276" w:lineRule="auto"/>
      </w:pPr>
      <w:r>
        <w:t xml:space="preserve">Choose QoS Buddy when the goal is not simply to display network metrics, but to convert those metrics into timely decisions. The platform brings together the practical pieces required for AI-assisted operations: live data ingestion, predictive models, incident memory, decision governance, and an operator-friendly interface.</w:t>
      </w:r>
    </w:p>
    <w:tbl>
      <w:tblPr>
        <w:tblW w:w="0" w:type="auto"/>
        <w:tblBorders>
          <w:top w:val="single" w:sz="4" w:color="C7D2D1"/>
          <w:left w:val="single" w:sz="4" w:color="C7D2D1"/>
          <w:bottom w:val="single" w:sz="4" w:color="C7D2D1"/>
          <w:right w:val="single" w:sz="4" w:color="C7D2D1"/>
          <w:insideH w:val="single" w:sz="4" w:color="DDE7E6"/>
          <w:insideV w:val="single" w:sz="4" w:color="DDE7E6"/>
        </w:tblBorders>
        <w:tblCellMar>
          <w:top w:w="120" w:type="dxa"/>
          <w:left w:w="120" w:type="dxa"/>
          <w:bottom w:w="120" w:type="dxa"/>
          <w:right w:w="120" w:type="dxa"/>
        </w:tblCellMar>
      </w:tblPr>
      <w:tblGrid>
        <w:gridCol w:w="2600"/>
        <w:gridCol w:w="6400"/>
      </w:tblGrid>
      <w:tr>
        <w:tc>
          <w:tcPr>
            <w:tcW w:w="2600" w:type="dxa"/>
            <w:shd w:fill="123B3A"/>
            <w:tcMar>
              <w:top w:w="120" w:type="dxa"/>
              <w:left w:w="140" w:type="dxa"/>
              <w:bottom w:w="120" w:type="dxa"/>
              <w:right w:w="140" w:type="dxa"/>
            </w:tcMar>
            <w:vAlign w:val="center"/>
          </w:tcPr>
          <w:p>
            <w:pPr>
              <w:spacing w:before="0" w:after="0" w:line="276" w:lineRule="auto"/>
            </w:pPr>
            <w:r>
              <w:rPr>
                <w:b/>
                <w:color w:val="FFFFFF"/>
              </w:rPr>
              <w:t xml:space="preserve">Advantage</w:t>
            </w:r>
          </w:p>
        </w:tc>
        <w:tc>
          <w:tcPr>
            <w:tcW w:w="6400" w:type="dxa"/>
            <w:shd w:fill="123B3A"/>
            <w:tcMar>
              <w:top w:w="120" w:type="dxa"/>
              <w:left w:w="140" w:type="dxa"/>
              <w:bottom w:w="120" w:type="dxa"/>
              <w:right w:w="140" w:type="dxa"/>
            </w:tcMar>
            <w:vAlign w:val="center"/>
          </w:tcPr>
          <w:p>
            <w:pPr>
              <w:spacing w:before="0" w:after="0" w:line="276" w:lineRule="auto"/>
            </w:pPr>
            <w:r>
              <w:rPr>
                <w:b/>
                <w:color w:val="FFFFFF"/>
              </w:rPr>
              <w:t xml:space="preserve">Why it matters</w:t>
            </w:r>
          </w:p>
        </w:tc>
      </w:tr>
      <w:tr>
        <w:tc>
          <w:tcPr>
            <w:tcW w:w="2600" w:type="dxa"/>
            <w:shd w:fill="F6FAFA"/>
            <w:tcMar>
              <w:top w:w="120" w:type="dxa"/>
              <w:left w:w="140" w:type="dxa"/>
              <w:bottom w:w="120" w:type="dxa"/>
              <w:right w:w="140" w:type="dxa"/>
            </w:tcMar>
            <w:vAlign w:val="center"/>
          </w:tcPr>
          <w:p>
            <w:pPr>
              <w:spacing w:before="0" w:after="0" w:line="276" w:lineRule="auto"/>
            </w:pPr>
            <w:r>
              <w:rPr>
                <w:color w:val="1F2937"/>
              </w:rPr>
              <w:t xml:space="preserve">Unified AI workflow</w:t>
            </w:r>
          </w:p>
        </w:tc>
        <w:tc>
          <w:tcPr>
            <w:tcW w:w="6400" w:type="dxa"/>
            <w:shd w:fill="F6FAFA"/>
            <w:tcMar>
              <w:top w:w="120" w:type="dxa"/>
              <w:left w:w="140" w:type="dxa"/>
              <w:bottom w:w="120" w:type="dxa"/>
              <w:right w:w="140" w:type="dxa"/>
            </w:tcMar>
            <w:vAlign w:val="center"/>
          </w:tcPr>
          <w:p>
            <w:pPr>
              <w:spacing w:before="0" w:after="0" w:line="276" w:lineRule="auto"/>
            </w:pPr>
            <w:r>
              <w:rPr>
                <w:color w:val="1F2937"/>
              </w:rPr>
              <w:t xml:space="preserve">Teams do not need to stitch together separate dashboards, notebooks, logs, and decision records.</w:t>
            </w:r>
          </w:p>
        </w:tc>
      </w:tr>
      <w:tr>
        <w:tc>
          <w:tcPr>
            <w:tcW w:w="2600" w:type="dxa"/>
            <w:tcMar>
              <w:top w:w="120" w:type="dxa"/>
              <w:left w:w="140" w:type="dxa"/>
              <w:bottom w:w="120" w:type="dxa"/>
              <w:right w:w="140" w:type="dxa"/>
            </w:tcMar>
            <w:vAlign w:val="center"/>
          </w:tcPr>
          <w:p>
            <w:pPr>
              <w:spacing w:before="0" w:after="0" w:line="276" w:lineRule="auto"/>
            </w:pPr>
            <w:r>
              <w:rPr>
                <w:color w:val="1F2937"/>
              </w:rPr>
              <w:t xml:space="preserve">Built for real operations</w:t>
            </w:r>
          </w:p>
        </w:tc>
        <w:tc>
          <w:tcPr>
            <w:tcW w:w="6400" w:type="dxa"/>
            <w:tcMar>
              <w:top w:w="120" w:type="dxa"/>
              <w:left w:w="140" w:type="dxa"/>
              <w:bottom w:w="120" w:type="dxa"/>
              <w:right w:w="140" w:type="dxa"/>
            </w:tcMar>
            <w:vAlign w:val="center"/>
          </w:tcPr>
          <w:p>
            <w:pPr>
              <w:spacing w:before="0" w:after="0" w:line="276" w:lineRule="auto"/>
            </w:pPr>
            <w:r>
              <w:rPr>
                <w:color w:val="1F2937"/>
              </w:rPr>
              <w:t xml:space="preserve">The system is designed around live streams, health checks, containerized services, and recoverable runtime state.</w:t>
            </w:r>
          </w:p>
        </w:tc>
      </w:tr>
      <w:tr>
        <w:tc>
          <w:tcPr>
            <w:tcW w:w="2600" w:type="dxa"/>
            <w:shd w:fill="F6FAFA"/>
            <w:tcMar>
              <w:top w:w="120" w:type="dxa"/>
              <w:left w:w="140" w:type="dxa"/>
              <w:bottom w:w="120" w:type="dxa"/>
              <w:right w:w="140" w:type="dxa"/>
            </w:tcMar>
            <w:vAlign w:val="center"/>
          </w:tcPr>
          <w:p>
            <w:pPr>
              <w:spacing w:before="0" w:after="0" w:line="276" w:lineRule="auto"/>
            </w:pPr>
            <w:r>
              <w:rPr>
                <w:color w:val="1F2937"/>
              </w:rPr>
              <w:t xml:space="preserve">Proactive posture</w:t>
            </w:r>
          </w:p>
        </w:tc>
        <w:tc>
          <w:tcPr>
            <w:tcW w:w="6400" w:type="dxa"/>
            <w:shd w:fill="F6FAFA"/>
            <w:tcMar>
              <w:top w:w="120" w:type="dxa"/>
              <w:left w:w="140" w:type="dxa"/>
              <w:bottom w:w="120" w:type="dxa"/>
              <w:right w:w="140" w:type="dxa"/>
            </w:tcMar>
            <w:vAlign w:val="center"/>
          </w:tcPr>
          <w:p>
            <w:pPr>
              <w:spacing w:before="0" w:after="0" w:line="276" w:lineRule="auto"/>
            </w:pPr>
            <w:r>
              <w:rPr>
                <w:color w:val="1F2937"/>
              </w:rPr>
              <w:t xml:space="preserve">Forecasting and time-to-breach estimates help teams move from after-the-fact reaction to prevention.</w:t>
            </w:r>
          </w:p>
        </w:tc>
      </w:tr>
      <w:tr>
        <w:tc>
          <w:tcPr>
            <w:tcW w:w="2600" w:type="dxa"/>
            <w:tcMar>
              <w:top w:w="120" w:type="dxa"/>
              <w:left w:w="140" w:type="dxa"/>
              <w:bottom w:w="120" w:type="dxa"/>
              <w:right w:w="140" w:type="dxa"/>
            </w:tcMar>
            <w:vAlign w:val="center"/>
          </w:tcPr>
          <w:p>
            <w:pPr>
              <w:spacing w:before="0" w:after="0" w:line="276" w:lineRule="auto"/>
            </w:pPr>
            <w:r>
              <w:rPr>
                <w:color w:val="1F2937"/>
              </w:rPr>
              <w:t xml:space="preserve">Explainable context</w:t>
            </w:r>
          </w:p>
        </w:tc>
        <w:tc>
          <w:tcPr>
            <w:tcW w:w="6400" w:type="dxa"/>
            <w:tcMar>
              <w:top w:w="120" w:type="dxa"/>
              <w:left w:w="140" w:type="dxa"/>
              <w:bottom w:w="120" w:type="dxa"/>
              <w:right w:w="140" w:type="dxa"/>
            </w:tcMar>
            <w:vAlign w:val="center"/>
          </w:tcPr>
          <w:p>
            <w:pPr>
              <w:spacing w:before="0" w:after="0" w:line="276" w:lineRule="auto"/>
            </w:pPr>
            <w:r>
              <w:rPr>
                <w:color w:val="1F2937"/>
              </w:rPr>
              <w:t xml:space="preserve">Root-cause hints, drivers, similar incidents, and summaries make outputs easier to trust.</w:t>
            </w:r>
          </w:p>
        </w:tc>
      </w:tr>
      <w:tr>
        <w:tc>
          <w:tcPr>
            <w:tcW w:w="2600" w:type="dxa"/>
            <w:shd w:fill="F6FAFA"/>
            <w:tcMar>
              <w:top w:w="120" w:type="dxa"/>
              <w:left w:w="140" w:type="dxa"/>
              <w:bottom w:w="120" w:type="dxa"/>
              <w:right w:w="140" w:type="dxa"/>
            </w:tcMar>
            <w:vAlign w:val="center"/>
          </w:tcPr>
          <w:p>
            <w:pPr>
              <w:spacing w:before="0" w:after="0" w:line="276" w:lineRule="auto"/>
            </w:pPr>
            <w:r>
              <w:rPr>
                <w:color w:val="1F2937"/>
              </w:rPr>
              <w:t xml:space="preserve">Governed decisions</w:t>
            </w:r>
          </w:p>
        </w:tc>
        <w:tc>
          <w:tcPr>
            <w:tcW w:w="6400" w:type="dxa"/>
            <w:shd w:fill="F6FAFA"/>
            <w:tcMar>
              <w:top w:w="120" w:type="dxa"/>
              <w:left w:w="140" w:type="dxa"/>
              <w:bottom w:w="120" w:type="dxa"/>
              <w:right w:w="140" w:type="dxa"/>
            </w:tcMar>
            <w:vAlign w:val="center"/>
          </w:tcPr>
          <w:p>
            <w:pPr>
              <w:spacing w:before="0" w:after="0" w:line="276" w:lineRule="auto"/>
            </w:pPr>
            <w:r>
              <w:rPr>
                <w:color w:val="1F2937"/>
              </w:rPr>
              <w:t xml:space="preserve">Optimization recommendations can be reviewed, approved, rejected, and audited.</w:t>
            </w:r>
          </w:p>
        </w:tc>
      </w:tr>
      <w:tr>
        <w:tc>
          <w:tcPr>
            <w:tcW w:w="2600" w:type="dxa"/>
            <w:tcMar>
              <w:top w:w="120" w:type="dxa"/>
              <w:left w:w="140" w:type="dxa"/>
              <w:bottom w:w="120" w:type="dxa"/>
              <w:right w:w="140" w:type="dxa"/>
            </w:tcMar>
            <w:vAlign w:val="center"/>
          </w:tcPr>
          <w:p>
            <w:pPr>
              <w:spacing w:before="0" w:after="0" w:line="276" w:lineRule="auto"/>
            </w:pPr>
            <w:r>
              <w:rPr>
                <w:color w:val="1F2937"/>
              </w:rPr>
              <w:t xml:space="preserve">Portable deployment</w:t>
            </w:r>
          </w:p>
        </w:tc>
        <w:tc>
          <w:tcPr>
            <w:tcW w:w="6400" w:type="dxa"/>
            <w:tcMar>
              <w:top w:w="120" w:type="dxa"/>
              <w:left w:w="140" w:type="dxa"/>
              <w:bottom w:w="120" w:type="dxa"/>
              <w:right w:w="140" w:type="dxa"/>
            </w:tcMar>
            <w:vAlign w:val="center"/>
          </w:tcPr>
          <w:p>
            <w:pPr>
              <w:spacing w:before="0" w:after="0" w:line="276" w:lineRule="auto"/>
            </w:pPr>
            <w:r>
              <w:rPr>
                <w:color w:val="1F2937"/>
              </w:rPr>
              <w:t xml:space="preserve">Docker Compose packaging and exported assets make the solution easier to move, restore, and demonstrate.</w:t>
            </w:r>
          </w:p>
        </w:tc>
      </w:tr>
      <w:tr>
        <w:tc>
          <w:tcPr>
            <w:tcW w:w="2600" w:type="dxa"/>
            <w:shd w:fill="F6FAFA"/>
            <w:tcMar>
              <w:top w:w="120" w:type="dxa"/>
              <w:left w:w="140" w:type="dxa"/>
              <w:bottom w:w="120" w:type="dxa"/>
              <w:right w:w="140" w:type="dxa"/>
            </w:tcMar>
            <w:vAlign w:val="center"/>
          </w:tcPr>
          <w:p>
            <w:pPr>
              <w:spacing w:before="0" w:after="0" w:line="276" w:lineRule="auto"/>
            </w:pPr>
            <w:r>
              <w:rPr>
                <w:color w:val="1F2937"/>
              </w:rPr>
              <w:t xml:space="preserve">Role-aware experience</w:t>
            </w:r>
          </w:p>
        </w:tc>
        <w:tc>
          <w:tcPr>
            <w:tcW w:w="6400" w:type="dxa"/>
            <w:shd w:fill="F6FAFA"/>
            <w:tcMar>
              <w:top w:w="120" w:type="dxa"/>
              <w:left w:w="140" w:type="dxa"/>
              <w:bottom w:w="120" w:type="dxa"/>
              <w:right w:w="140" w:type="dxa"/>
            </w:tcMar>
            <w:vAlign w:val="center"/>
          </w:tcPr>
          <w:p>
            <w:pPr>
              <w:spacing w:before="0" w:after="0" w:line="276" w:lineRule="auto"/>
            </w:pPr>
            <w:r>
              <w:rPr>
                <w:color w:val="1F2937"/>
              </w:rPr>
              <w:t xml:space="preserve">Executives and engineers can work from the same source of truth without drowning in the wrong level of detail.</w:t>
            </w:r>
          </w:p>
        </w:tc>
      </w:tr>
    </w:tbl>
    <w:p>
      <w:pPr>
        <w:pStyle w:val="Heading2"/>
        <w:spacing w:before="0" w:after="160" w:line="276" w:lineRule="auto"/>
      </w:pPr>
      <w:r>
        <w:t xml:space="preserve">Business Outcomes</w:t>
      </w:r>
    </w:p>
    <w:p>
      <w:pPr>
        <w:pStyle w:val="BodyText"/>
        <w:numPr>
          <w:ilvl w:val="0"/>
          <w:numId w:val="1"/>
        </w:numPr>
        <w:spacing w:after="120" w:line="276" w:lineRule="auto"/>
      </w:pPr>
      <w:r>
        <w:t xml:space="preserve">Reduced mean time to detect and diagnose QoS degradation.</w:t>
      </w:r>
    </w:p>
    <w:p>
      <w:pPr>
        <w:pStyle w:val="BodyText"/>
        <w:numPr>
          <w:ilvl w:val="0"/>
          <w:numId w:val="1"/>
        </w:numPr>
        <w:spacing w:after="120" w:line="276" w:lineRule="auto"/>
      </w:pPr>
      <w:r>
        <w:t xml:space="preserve">Improved service continuity through earlier warnings and recommended intervention.</w:t>
      </w:r>
    </w:p>
    <w:p>
      <w:pPr>
        <w:pStyle w:val="BodyText"/>
        <w:numPr>
          <w:ilvl w:val="0"/>
          <w:numId w:val="1"/>
        </w:numPr>
        <w:spacing w:after="120" w:line="276" w:lineRule="auto"/>
      </w:pPr>
      <w:r>
        <w:t xml:space="preserve">Stronger operational governance for AI-assisted remediation.</w:t>
      </w:r>
    </w:p>
    <w:p>
      <w:pPr>
        <w:pStyle w:val="BodyText"/>
        <w:numPr>
          <w:ilvl w:val="0"/>
          <w:numId w:val="1"/>
        </w:numPr>
        <w:spacing w:after="120" w:line="276" w:lineRule="auto"/>
      </w:pPr>
      <w:r>
        <w:t xml:space="preserve">Reusable incident intelligence that compounds over time.</w:t>
      </w:r>
    </w:p>
    <w:p>
      <w:pPr>
        <w:pStyle w:val="BodyText"/>
        <w:numPr>
          <w:ilvl w:val="0"/>
          <w:numId w:val="1"/>
        </w:numPr>
        <w:spacing w:after="120" w:line="276" w:lineRule="auto"/>
      </w:pPr>
      <w:r>
        <w:t xml:space="preserve">Clearer communication between NOC operators, engineering teams, and leadership.</w:t>
      </w:r>
    </w:p>
    <w:p>
      <w:pPr>
        <w:pStyle w:val="Heading1"/>
        <w:spacing w:before="0" w:after="160" w:line="276" w:lineRule="auto"/>
      </w:pPr>
      <w:r>
        <w:t xml:space="preserve">Marketing Message Library</w:t>
      </w:r>
    </w:p>
    <w:p>
      <w:pPr>
        <w:pStyle w:val="Heading2"/>
        <w:spacing w:before="0" w:after="160" w:line="276" w:lineRule="auto"/>
      </w:pPr>
      <w:r>
        <w:t xml:space="preserve">Short description</w:t>
      </w:r>
    </w:p>
    <w:p>
      <w:pPr>
        <w:pBdr>
          <w:left w:val="single" w:sz="18" w:space="8" w:color="0F766E"/>
        </w:pBdr>
        <w:shd w:fill="EAF4F4"/>
        <w:spacing w:before="160" w:after="220" w:line="276" w:lineRule="auto"/>
        <w:ind w:left="220" w:right="220"/>
      </w:pPr>
      <w:r>
        <w:rPr>
          <w:b/>
          <w:color w:val="123B3A"/>
        </w:rPr>
        <w:t xml:space="preserve">QoS Buddy is an AI-powered network operations platform that helps teams monitor live QoS, detect anomalies, forecast degradation, diagnose root causes, recommend safer actions, and preserve incident knowledge in one command center.</w:t>
      </w:r>
    </w:p>
    <w:p>
      <w:pPr>
        <w:pStyle w:val="Heading2"/>
        <w:spacing w:before="0" w:after="160" w:line="276" w:lineRule="auto"/>
      </w:pPr>
      <w:r>
        <w:t xml:space="preserve">Tagline options</w:t>
      </w:r>
    </w:p>
    <w:p>
      <w:pPr>
        <w:pStyle w:val="BodyText"/>
        <w:numPr>
          <w:ilvl w:val="0"/>
          <w:numId w:val="1"/>
        </w:numPr>
        <w:spacing w:after="120" w:line="276" w:lineRule="auto"/>
      </w:pPr>
      <w:r>
        <w:t xml:space="preserve">Know sooner. Diagnose faster. Act with confidence.</w:t>
      </w:r>
    </w:p>
    <w:p>
      <w:pPr>
        <w:pStyle w:val="BodyText"/>
        <w:numPr>
          <w:ilvl w:val="0"/>
          <w:numId w:val="1"/>
        </w:numPr>
        <w:spacing w:after="120" w:line="276" w:lineRule="auto"/>
      </w:pPr>
      <w:r>
        <w:t xml:space="preserve">The AI command center for network quality operations.</w:t>
      </w:r>
    </w:p>
    <w:p>
      <w:pPr>
        <w:pStyle w:val="BodyText"/>
        <w:numPr>
          <w:ilvl w:val="0"/>
          <w:numId w:val="1"/>
        </w:numPr>
        <w:spacing w:after="120" w:line="276" w:lineRule="auto"/>
      </w:pPr>
      <w:r>
        <w:t xml:space="preserve">From QoS signals to trusted decisions.</w:t>
      </w:r>
    </w:p>
    <w:p>
      <w:pPr>
        <w:pStyle w:val="BodyText"/>
        <w:numPr>
          <w:ilvl w:val="0"/>
          <w:numId w:val="1"/>
        </w:numPr>
        <w:spacing w:after="120" w:line="276" w:lineRule="auto"/>
      </w:pPr>
      <w:r>
        <w:t xml:space="preserve">Predict degradation before customers feel it.</w:t>
      </w:r>
    </w:p>
    <w:p>
      <w:pPr>
        <w:pStyle w:val="Heading2"/>
        <w:spacing w:before="0" w:after="160" w:line="276" w:lineRule="auto"/>
      </w:pPr>
      <w:r>
        <w:t xml:space="preserve">Brochure-ready closing copy</w:t>
      </w:r>
    </w:p>
    <w:p>
      <w:pPr>
        <w:spacing w:before="0" w:after="160" w:line="276" w:lineRule="auto"/>
      </w:pPr>
      <w:r>
        <w:t xml:space="preserve">QoS Buddy gives network teams a practical path from raw telemetry to confident action. By combining live monitoring, predictive AI, incident memory, diagnostics, optimization, and reporting, it helps operators protect service quality while giving leaders the visibility and governance they need. For organizations modernizing network operations, QoS Buddy turns AI from a side experiment into a working part of the NOC.</w:t>
      </w:r>
    </w:p>
    <w:sectPr>
      <w:pgSz w:w="12240" w:h="15840"/>
      <w:pgMar w:top="900" w:right="900" w:bottom="900" w:left="90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40" w:hanging="2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color w:val="1F2937"/>
    </w:rPr>
  </w:style>
  <w:style w:type="paragraph" w:styleId="Title">
    <w:name w:val="Title"/>
    <w:basedOn w:val="Normal"/>
    <w:qFormat/>
    <w:pPr>
      <w:spacing w:after="120"/>
    </w:pPr>
    <w:rPr>
      <w:rFonts w:ascii="Aptos Display" w:hAnsi="Aptos Display"/>
      <w:b/>
      <w:sz w:val="64"/>
      <w:color w:val="0F766E"/>
    </w:rPr>
  </w:style>
  <w:style w:type="paragraph" w:styleId="Subtitle">
    <w:name w:val="Subtitle"/>
    <w:basedOn w:val="Normal"/>
    <w:qFormat/>
    <w:rPr>
      <w:rFonts w:ascii="Aptos" w:hAnsi="Aptos"/>
      <w:sz w:val="30"/>
      <w:color w:val="334155"/>
    </w:rPr>
  </w:style>
  <w:style w:type="paragraph" w:styleId="Heading1">
    <w:name w:val="heading 1"/>
    <w:basedOn w:val="Normal"/>
    <w:next w:val="Normal"/>
    <w:qFormat/>
    <w:pPr>
      <w:keepNext/>
      <w:spacing w:before="260" w:after="140"/>
    </w:pPr>
    <w:rPr>
      <w:rFonts w:ascii="Aptos Display" w:hAnsi="Aptos Display"/>
      <w:b/>
      <w:sz w:val="34"/>
      <w:color w:val="0F766E"/>
    </w:rPr>
  </w:style>
  <w:style w:type="paragraph" w:styleId="Heading2">
    <w:name w:val="heading 2"/>
    <w:basedOn w:val="Normal"/>
    <w:next w:val="Normal"/>
    <w:qFormat/>
    <w:pPr>
      <w:keepNext/>
      <w:spacing w:before="200" w:after="100"/>
    </w:pPr>
    <w:rPr>
      <w:rFonts w:ascii="Aptos" w:hAnsi="Aptos"/>
      <w:b/>
      <w:sz w:val="26"/>
      <w:color w:val="123B3A"/>
    </w:rPr>
  </w:style>
  <w:style w:type="paragraph" w:styleId="BodyText">
    <w:name w:val="Body Text"/>
    <w:basedOn w:val="Normal"/>
    <w:qFormat/>
    <w:pPr>
      <w:spacing w:after="120" w:line="276" w:lineRule="auto"/>
    </w:pPr>
    <w:rPr>
      <w:rFonts w:ascii="Aptos" w:hAnsi="Aptos"/>
      <w:sz w:val="22"/>
      <w:color w:val="1F293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QoS Buddy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QoS Buddy Marketing Solution Overview</dc:title>
  <dc:creator>OpenAI Codex</dc:creator>
  <cp:lastModifiedBy>OpenAI Codex</cp:lastModifiedBy>
  <dcterms:created xsi:type="dcterms:W3CDTF">2026-05-10T09:43:19Z</dcterms:created>
  <dcterms:modified xsi:type="dcterms:W3CDTF">2026-05-10T09:43:19Z</dcterms:modified>
</cp:coreProperties>
</file>