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21383" w14:textId="77777777" w:rsidR="008A5FA0" w:rsidRPr="00AA045D" w:rsidRDefault="0053426B">
      <w:pPr>
        <w:rPr>
          <w:b/>
          <w:sz w:val="32"/>
        </w:rPr>
      </w:pPr>
      <w:r w:rsidRPr="00AA045D">
        <w:rPr>
          <w:b/>
          <w:sz w:val="32"/>
        </w:rPr>
        <w:t>Epilepsy12</w:t>
      </w:r>
    </w:p>
    <w:p w14:paraId="282376F6" w14:textId="77777777" w:rsidR="0053426B" w:rsidRDefault="0053426B">
      <w:pPr>
        <w:rPr>
          <w:rFonts w:ascii="Calibri" w:eastAsia="Calibri" w:hAnsi="Calibri"/>
        </w:rPr>
      </w:pPr>
      <w:r w:rsidRPr="002F6607">
        <w:rPr>
          <w:rFonts w:ascii="Calibri" w:eastAsia="Calibri" w:hAnsi="Calibri"/>
          <w:lang w:val="x-none"/>
        </w:rPr>
        <w:t xml:space="preserve">Since 2009 RCPCH has </w:t>
      </w:r>
      <w:r w:rsidRPr="002F6607">
        <w:rPr>
          <w:rFonts w:ascii="Calibri" w:eastAsia="Calibri" w:hAnsi="Calibri"/>
        </w:rPr>
        <w:t>delivered</w:t>
      </w:r>
      <w:r w:rsidRPr="002F6607">
        <w:rPr>
          <w:rFonts w:ascii="Calibri" w:eastAsia="Calibri" w:hAnsi="Calibri"/>
          <w:lang w:val="x-none"/>
        </w:rPr>
        <w:t xml:space="preserve"> ‘Epilepsy12’</w:t>
      </w:r>
      <w:r w:rsidRPr="002F6607">
        <w:rPr>
          <w:rFonts w:ascii="Calibri" w:eastAsia="Calibri" w:hAnsi="Calibri"/>
        </w:rPr>
        <w:t>,</w:t>
      </w:r>
      <w:r w:rsidRPr="002F6607">
        <w:rPr>
          <w:rFonts w:ascii="Calibri" w:eastAsia="Calibri" w:hAnsi="Calibri"/>
          <w:lang w:val="x-none"/>
        </w:rPr>
        <w:t xml:space="preserve"> the national clinical audit </w:t>
      </w:r>
      <w:r w:rsidRPr="002F6607">
        <w:rPr>
          <w:rFonts w:ascii="Calibri" w:eastAsia="Calibri" w:hAnsi="Calibri"/>
        </w:rPr>
        <w:t>of</w:t>
      </w:r>
      <w:r w:rsidRPr="002F6607">
        <w:rPr>
          <w:rFonts w:ascii="Calibri" w:eastAsia="Calibri" w:hAnsi="Calibri"/>
          <w:lang w:val="x-none"/>
        </w:rPr>
        <w:t xml:space="preserve"> seizures and epilepsies for children and young people </w:t>
      </w:r>
      <w:r w:rsidRPr="002F6607">
        <w:rPr>
          <w:rFonts w:ascii="Calibri" w:eastAsia="Calibri" w:hAnsi="Calibri"/>
        </w:rPr>
        <w:t>as part of the National Clinical Audit and Patient Outcomes Programme (NCAPOP</w:t>
      </w:r>
      <w:r>
        <w:rPr>
          <w:rFonts w:ascii="Calibri" w:eastAsia="Calibri" w:hAnsi="Calibri"/>
        </w:rPr>
        <w:t xml:space="preserve">). </w:t>
      </w:r>
    </w:p>
    <w:p w14:paraId="73978445" w14:textId="77777777" w:rsidR="0053426B" w:rsidRDefault="0053426B">
      <w:pPr>
        <w:rPr>
          <w:rFonts w:ascii="Calibri" w:eastAsia="Calibri" w:hAnsi="Calibri"/>
        </w:rPr>
      </w:pPr>
      <w:r>
        <w:rPr>
          <w:rFonts w:ascii="Calibri" w:eastAsia="Calibri" w:hAnsi="Calibri"/>
        </w:rPr>
        <w:t>The</w:t>
      </w:r>
      <w:r w:rsidR="004B0A13">
        <w:rPr>
          <w:rFonts w:ascii="Calibri" w:eastAsia="Calibri" w:hAnsi="Calibri"/>
        </w:rPr>
        <w:t xml:space="preserve"> clinical</w:t>
      </w:r>
      <w:r>
        <w:rPr>
          <w:rFonts w:ascii="Calibri" w:eastAsia="Calibri" w:hAnsi="Calibri"/>
        </w:rPr>
        <w:t xml:space="preserve"> audit collects data when children and young people are first referred and assessed following an initial </w:t>
      </w:r>
      <w:proofErr w:type="gramStart"/>
      <w:r>
        <w:rPr>
          <w:rFonts w:ascii="Calibri" w:eastAsia="Calibri" w:hAnsi="Calibri"/>
        </w:rPr>
        <w:t>seizure, and</w:t>
      </w:r>
      <w:proofErr w:type="gramEnd"/>
      <w:r>
        <w:rPr>
          <w:rFonts w:ascii="Calibri" w:eastAsia="Calibri" w:hAnsi="Calibri"/>
        </w:rPr>
        <w:t xml:space="preserve"> follows their care for 12 months. They are grouped into </w:t>
      </w:r>
      <w:proofErr w:type="gramStart"/>
      <w:r>
        <w:rPr>
          <w:rFonts w:ascii="Calibri" w:eastAsia="Calibri" w:hAnsi="Calibri"/>
        </w:rPr>
        <w:t>12 month</w:t>
      </w:r>
      <w:proofErr w:type="gramEnd"/>
      <w:r>
        <w:rPr>
          <w:rFonts w:ascii="Calibri" w:eastAsia="Calibri" w:hAnsi="Calibri"/>
        </w:rPr>
        <w:t xml:space="preserve"> cohorts, and so far there have been around 25k patients registered in the current round of Epilepsy12</w:t>
      </w:r>
      <w:r w:rsidR="004B0A13">
        <w:rPr>
          <w:rFonts w:ascii="Calibri" w:eastAsia="Calibri" w:hAnsi="Calibri"/>
        </w:rPr>
        <w:t xml:space="preserve"> (2018-21). Patients are registered to either an NHS Trust (England), or NHS Health Board (Wales).</w:t>
      </w:r>
      <w:r w:rsidR="00E81ECF">
        <w:rPr>
          <w:rFonts w:ascii="Calibri" w:eastAsia="Calibri" w:hAnsi="Calibri"/>
        </w:rPr>
        <w:t xml:space="preserve"> The funding for this project is coming via NHS England, so the API work will focus on NHS Trusts. </w:t>
      </w:r>
    </w:p>
    <w:p w14:paraId="16BA4128" w14:textId="77777777" w:rsidR="0012787B" w:rsidRDefault="004B0A13">
      <w:pPr>
        <w:rPr>
          <w:rFonts w:ascii="Calibri" w:eastAsia="Calibri" w:hAnsi="Calibri"/>
        </w:rPr>
      </w:pPr>
      <w:r>
        <w:rPr>
          <w:rFonts w:ascii="Calibri" w:eastAsia="Calibri" w:hAnsi="Calibri"/>
        </w:rPr>
        <w:t>Patients can be registered by either an EEG service, or by the paediatric epilepsy</w:t>
      </w:r>
      <w:r w:rsidR="00047E92">
        <w:rPr>
          <w:rFonts w:ascii="Calibri" w:eastAsia="Calibri" w:hAnsi="Calibri"/>
        </w:rPr>
        <w:t xml:space="preserve"> team. There are then three</w:t>
      </w:r>
      <w:r>
        <w:rPr>
          <w:rFonts w:ascii="Calibri" w:eastAsia="Calibri" w:hAnsi="Calibri"/>
        </w:rPr>
        <w:t xml:space="preserve"> stages of data collection: (1)</w:t>
      </w:r>
      <w:r w:rsidR="00047E92">
        <w:rPr>
          <w:rFonts w:ascii="Calibri" w:eastAsia="Calibri" w:hAnsi="Calibri"/>
        </w:rPr>
        <w:t xml:space="preserve"> Registration*, (2) Record of f</w:t>
      </w:r>
      <w:r w:rsidR="0012787B">
        <w:rPr>
          <w:rFonts w:ascii="Calibri" w:eastAsia="Calibri" w:hAnsi="Calibri"/>
        </w:rPr>
        <w:t>irst a</w:t>
      </w:r>
      <w:r>
        <w:rPr>
          <w:rFonts w:ascii="Calibri" w:eastAsia="Calibri" w:hAnsi="Calibri"/>
        </w:rPr>
        <w:t xml:space="preserve">ssessment, and (2) </w:t>
      </w:r>
      <w:r w:rsidR="00047E92">
        <w:rPr>
          <w:rFonts w:ascii="Calibri" w:eastAsia="Calibri" w:hAnsi="Calibri"/>
        </w:rPr>
        <w:t>Record of f</w:t>
      </w:r>
      <w:r>
        <w:rPr>
          <w:rFonts w:ascii="Calibri" w:eastAsia="Calibri" w:hAnsi="Calibri"/>
        </w:rPr>
        <w:t>irst year of care</w:t>
      </w:r>
      <w:r w:rsidR="00047E92">
        <w:rPr>
          <w:rFonts w:ascii="Calibri" w:eastAsia="Calibri" w:hAnsi="Calibri"/>
        </w:rPr>
        <w:t>*</w:t>
      </w:r>
      <w:r>
        <w:rPr>
          <w:rFonts w:ascii="Calibri" w:eastAsia="Calibri" w:hAnsi="Calibri"/>
        </w:rPr>
        <w:t>. These are designed to be at the (1)</w:t>
      </w:r>
      <w:r w:rsidR="0012787B">
        <w:rPr>
          <w:rFonts w:ascii="Calibri" w:eastAsia="Calibri" w:hAnsi="Calibri"/>
        </w:rPr>
        <w:t xml:space="preserve"> at the point of referral (2) initial </w:t>
      </w:r>
      <w:r>
        <w:rPr>
          <w:rFonts w:ascii="Calibri" w:eastAsia="Calibri" w:hAnsi="Calibri"/>
        </w:rPr>
        <w:t>appointment after refe</w:t>
      </w:r>
      <w:r w:rsidR="0012787B">
        <w:rPr>
          <w:rFonts w:ascii="Calibri" w:eastAsia="Calibri" w:hAnsi="Calibri"/>
        </w:rPr>
        <w:t>rral (3</w:t>
      </w:r>
      <w:r>
        <w:rPr>
          <w:rFonts w:ascii="Calibri" w:eastAsia="Calibri" w:hAnsi="Calibri"/>
        </w:rPr>
        <w:t xml:space="preserve">) </w:t>
      </w:r>
      <w:r w:rsidR="0012787B">
        <w:rPr>
          <w:rFonts w:ascii="Calibri" w:eastAsia="Calibri" w:hAnsi="Calibri"/>
        </w:rPr>
        <w:t xml:space="preserve">the same form is then repeated to capture </w:t>
      </w:r>
      <w:r>
        <w:rPr>
          <w:rFonts w:ascii="Calibri" w:eastAsia="Calibri" w:hAnsi="Calibri"/>
        </w:rPr>
        <w:t xml:space="preserve">the rest of care/diagnosis over the following 12 months. </w:t>
      </w:r>
    </w:p>
    <w:p w14:paraId="02625934" w14:textId="77777777" w:rsidR="0012787B" w:rsidRDefault="004B0A13" w:rsidP="0012787B">
      <w:pPr>
        <w:rPr>
          <w:rFonts w:ascii="Calibri" w:eastAsia="Calibri" w:hAnsi="Calibri"/>
        </w:rPr>
      </w:pPr>
      <w:r>
        <w:rPr>
          <w:rFonts w:ascii="Calibri" w:eastAsia="Calibri" w:hAnsi="Calibri"/>
        </w:rPr>
        <w:t xml:space="preserve">All the data in Epilepsy12 is inputted into our online data platform by the clinical team or admin support in the Trust/Health Board. </w:t>
      </w:r>
      <w:r w:rsidR="00AA045D">
        <w:rPr>
          <w:rFonts w:ascii="Calibri" w:eastAsia="Calibri" w:hAnsi="Calibri"/>
        </w:rPr>
        <w:t xml:space="preserve">Currently data can be entered either over the course of care, or retrospectively. </w:t>
      </w:r>
      <w:r>
        <w:rPr>
          <w:rFonts w:ascii="Calibri" w:eastAsia="Calibri" w:hAnsi="Calibri"/>
        </w:rPr>
        <w:t>Th</w:t>
      </w:r>
      <w:r w:rsidR="00AA045D">
        <w:rPr>
          <w:rFonts w:ascii="Calibri" w:eastAsia="Calibri" w:hAnsi="Calibri"/>
        </w:rPr>
        <w:t>e data entry</w:t>
      </w:r>
      <w:r>
        <w:rPr>
          <w:rFonts w:ascii="Calibri" w:eastAsia="Calibri" w:hAnsi="Calibri"/>
        </w:rPr>
        <w:t xml:space="preserve"> takes a lot of time, and </w:t>
      </w:r>
      <w:r w:rsidR="001175ED">
        <w:rPr>
          <w:rFonts w:ascii="Calibri" w:eastAsia="Calibri" w:hAnsi="Calibri"/>
        </w:rPr>
        <w:t>(</w:t>
      </w:r>
      <w:r>
        <w:rPr>
          <w:rFonts w:ascii="Calibri" w:eastAsia="Calibri" w:hAnsi="Calibri"/>
        </w:rPr>
        <w:t>increasingly</w:t>
      </w:r>
      <w:r w:rsidR="001175ED">
        <w:rPr>
          <w:rFonts w:ascii="Calibri" w:eastAsia="Calibri" w:hAnsi="Calibri"/>
        </w:rPr>
        <w:t xml:space="preserve">) duplicates information </w:t>
      </w:r>
      <w:r>
        <w:rPr>
          <w:rFonts w:ascii="Calibri" w:eastAsia="Calibri" w:hAnsi="Calibri"/>
        </w:rPr>
        <w:t xml:space="preserve">teams are entering into </w:t>
      </w:r>
      <w:r w:rsidR="00AA045D">
        <w:rPr>
          <w:rFonts w:ascii="Calibri" w:eastAsia="Calibri" w:hAnsi="Calibri"/>
        </w:rPr>
        <w:t xml:space="preserve">their patient </w:t>
      </w:r>
      <w:r>
        <w:rPr>
          <w:rFonts w:ascii="Calibri" w:eastAsia="Calibri" w:hAnsi="Calibri"/>
        </w:rPr>
        <w:t>electronic health records.</w:t>
      </w:r>
      <w:r w:rsidR="00750E40">
        <w:rPr>
          <w:rFonts w:ascii="Calibri" w:eastAsia="Calibri" w:hAnsi="Calibri"/>
        </w:rPr>
        <w:t xml:space="preserve"> </w:t>
      </w:r>
    </w:p>
    <w:p w14:paraId="1204BFD0" w14:textId="77777777" w:rsidR="00AA045D" w:rsidRDefault="00750E40" w:rsidP="00AA045D">
      <w:pPr>
        <w:rPr>
          <w:rFonts w:ascii="Calibri" w:eastAsia="Calibri" w:hAnsi="Calibri"/>
        </w:rPr>
      </w:pPr>
      <w:r>
        <w:rPr>
          <w:rFonts w:ascii="Calibri" w:eastAsia="Calibri" w:hAnsi="Calibri"/>
        </w:rPr>
        <w:t xml:space="preserve">Unlike some other </w:t>
      </w:r>
      <w:r w:rsidR="0012787B">
        <w:rPr>
          <w:rFonts w:ascii="Calibri" w:eastAsia="Calibri" w:hAnsi="Calibri"/>
        </w:rPr>
        <w:t xml:space="preserve">health </w:t>
      </w:r>
      <w:r>
        <w:rPr>
          <w:rFonts w:ascii="Calibri" w:eastAsia="Calibri" w:hAnsi="Calibri"/>
        </w:rPr>
        <w:t>conditions, there is not a standard application</w:t>
      </w:r>
      <w:r w:rsidR="00B41938">
        <w:rPr>
          <w:rFonts w:ascii="Calibri" w:eastAsia="Calibri" w:hAnsi="Calibri"/>
        </w:rPr>
        <w:t xml:space="preserve"> or applications used</w:t>
      </w:r>
      <w:r w:rsidR="0012787B">
        <w:rPr>
          <w:rFonts w:ascii="Calibri" w:eastAsia="Calibri" w:hAnsi="Calibri"/>
        </w:rPr>
        <w:t xml:space="preserve"> for paediatric epilepsy</w:t>
      </w:r>
      <w:r w:rsidR="00B41938">
        <w:rPr>
          <w:rFonts w:ascii="Calibri" w:eastAsia="Calibri" w:hAnsi="Calibri"/>
        </w:rPr>
        <w:t xml:space="preserve">. Data is recorded in Trust patient records, </w:t>
      </w:r>
      <w:r>
        <w:rPr>
          <w:rFonts w:ascii="Calibri" w:eastAsia="Calibri" w:hAnsi="Calibri"/>
        </w:rPr>
        <w:t xml:space="preserve">and the forms/systems used by Trusts vary. </w:t>
      </w:r>
      <w:proofErr w:type="gramStart"/>
      <w:r>
        <w:rPr>
          <w:rFonts w:ascii="Calibri" w:eastAsia="Calibri" w:hAnsi="Calibri"/>
        </w:rPr>
        <w:t>Therefore</w:t>
      </w:r>
      <w:proofErr w:type="gramEnd"/>
      <w:r>
        <w:rPr>
          <w:rFonts w:ascii="Calibri" w:eastAsia="Calibri" w:hAnsi="Calibri"/>
        </w:rPr>
        <w:t xml:space="preserve"> we</w:t>
      </w:r>
      <w:r w:rsidR="0012787B">
        <w:rPr>
          <w:rFonts w:ascii="Calibri" w:eastAsia="Calibri" w:hAnsi="Calibri"/>
        </w:rPr>
        <w:t xml:space="preserve">’d be looking </w:t>
      </w:r>
      <w:r>
        <w:rPr>
          <w:rFonts w:ascii="Calibri" w:eastAsia="Calibri" w:hAnsi="Calibri"/>
        </w:rPr>
        <w:t>to identify a minimum standard dataset that could be extracted</w:t>
      </w:r>
      <w:r w:rsidR="00E81ECF">
        <w:rPr>
          <w:rFonts w:ascii="Calibri" w:eastAsia="Calibri" w:hAnsi="Calibri"/>
        </w:rPr>
        <w:t>,</w:t>
      </w:r>
      <w:r w:rsidR="0012787B">
        <w:rPr>
          <w:rFonts w:ascii="Calibri" w:eastAsia="Calibri" w:hAnsi="Calibri"/>
        </w:rPr>
        <w:t xml:space="preserve"> a</w:t>
      </w:r>
      <w:r>
        <w:rPr>
          <w:rFonts w:ascii="Calibri" w:eastAsia="Calibri" w:hAnsi="Calibri"/>
        </w:rPr>
        <w:t xml:space="preserve"> specification of required data fields for Trusts wil</w:t>
      </w:r>
      <w:r w:rsidR="0012787B">
        <w:rPr>
          <w:rFonts w:ascii="Calibri" w:eastAsia="Calibri" w:hAnsi="Calibri"/>
        </w:rPr>
        <w:t>ling/able to adapt their record template</w:t>
      </w:r>
      <w:r w:rsidR="00047E92">
        <w:rPr>
          <w:rFonts w:ascii="Calibri" w:eastAsia="Calibri" w:hAnsi="Calibri"/>
        </w:rPr>
        <w:t>, and the</w:t>
      </w:r>
      <w:r w:rsidR="0012787B">
        <w:rPr>
          <w:rFonts w:ascii="Calibri" w:eastAsia="Calibri" w:hAnsi="Calibri"/>
        </w:rPr>
        <w:t xml:space="preserve"> data</w:t>
      </w:r>
      <w:r w:rsidR="00047E92">
        <w:rPr>
          <w:rFonts w:ascii="Calibri" w:eastAsia="Calibri" w:hAnsi="Calibri"/>
        </w:rPr>
        <w:t xml:space="preserve"> fed into the relevant records held on the Epilepsy12 data platform</w:t>
      </w:r>
      <w:r w:rsidR="0012787B">
        <w:rPr>
          <w:rFonts w:ascii="Calibri" w:eastAsia="Calibri" w:hAnsi="Calibri"/>
        </w:rPr>
        <w:t xml:space="preserve"> (ideally via RCPCH, in case the Epilepsy12 platform provider changes in future)</w:t>
      </w:r>
      <w:r w:rsidR="00047E92">
        <w:rPr>
          <w:rFonts w:ascii="Calibri" w:eastAsia="Calibri" w:hAnsi="Calibri"/>
        </w:rPr>
        <w:t xml:space="preserve">. </w:t>
      </w:r>
      <w:r>
        <w:rPr>
          <w:rFonts w:ascii="Calibri" w:eastAsia="Calibri" w:hAnsi="Calibri"/>
        </w:rPr>
        <w:t xml:space="preserve"> </w:t>
      </w:r>
    </w:p>
    <w:p w14:paraId="5B3F5093" w14:textId="77777777" w:rsidR="004B0A13" w:rsidRDefault="00AA045D" w:rsidP="00AA045D">
      <w:pPr>
        <w:rPr>
          <w:rFonts w:ascii="Calibri" w:eastAsia="Calibri" w:hAnsi="Calibri"/>
        </w:rPr>
      </w:pPr>
      <w:r>
        <w:rPr>
          <w:rFonts w:ascii="Calibri" w:eastAsia="Calibri" w:hAnsi="Calibri"/>
        </w:rPr>
        <w:t>The dataset and key measures were designed against NICE standards and guidelines, but the measures aren’t linked - and don’t map - to published NHS/ONS/PHE datasets.</w:t>
      </w:r>
    </w:p>
    <w:p w14:paraId="27030938" w14:textId="77777777" w:rsidR="001175ED" w:rsidRDefault="001175ED">
      <w:pPr>
        <w:rPr>
          <w:rFonts w:ascii="Calibri" w:eastAsia="Calibri" w:hAnsi="Calibri"/>
        </w:rPr>
      </w:pPr>
      <w:r>
        <w:rPr>
          <w:rFonts w:ascii="Calibri" w:eastAsia="Calibri" w:hAnsi="Calibri"/>
        </w:rPr>
        <w:t xml:space="preserve">We want to reduce </w:t>
      </w:r>
      <w:r w:rsidR="00B41938">
        <w:rPr>
          <w:rFonts w:ascii="Calibri" w:eastAsia="Calibri" w:hAnsi="Calibri"/>
        </w:rPr>
        <w:t>the</w:t>
      </w:r>
      <w:r>
        <w:rPr>
          <w:rFonts w:ascii="Calibri" w:eastAsia="Calibri" w:hAnsi="Calibri"/>
        </w:rPr>
        <w:t xml:space="preserve"> data entry burden on clinicians, improve the data completeness of Epilepsy12, and be able to provide closer to real-time reporting. </w:t>
      </w:r>
      <w:r w:rsidR="00750E40">
        <w:rPr>
          <w:rFonts w:ascii="Calibri" w:eastAsia="Calibri" w:hAnsi="Calibri"/>
        </w:rPr>
        <w:t xml:space="preserve">The scope of the project NHS England </w:t>
      </w:r>
      <w:proofErr w:type="gramStart"/>
      <w:r w:rsidR="00750E40">
        <w:rPr>
          <w:rFonts w:ascii="Calibri" w:eastAsia="Calibri" w:hAnsi="Calibri"/>
        </w:rPr>
        <w:t>are</w:t>
      </w:r>
      <w:proofErr w:type="gramEnd"/>
      <w:r w:rsidR="00750E40">
        <w:rPr>
          <w:rFonts w:ascii="Calibri" w:eastAsia="Calibri" w:hAnsi="Calibri"/>
        </w:rPr>
        <w:t xml:space="preserve"> funding would be to:</w:t>
      </w:r>
    </w:p>
    <w:p w14:paraId="3A857FD0" w14:textId="77777777" w:rsidR="00C21AEE" w:rsidRDefault="00750E40" w:rsidP="00C21AEE">
      <w:pPr>
        <w:pStyle w:val="ListParagraph"/>
        <w:numPr>
          <w:ilvl w:val="0"/>
          <w:numId w:val="1"/>
        </w:numPr>
        <w:rPr>
          <w:rFonts w:ascii="Calibri" w:eastAsia="Calibri" w:hAnsi="Calibri"/>
        </w:rPr>
      </w:pPr>
      <w:r>
        <w:rPr>
          <w:rFonts w:ascii="Calibri" w:eastAsia="Calibri" w:hAnsi="Calibri"/>
        </w:rPr>
        <w:t>Use the audit dataset and stakeholder input to develop a data specification/transfer schema</w:t>
      </w:r>
    </w:p>
    <w:p w14:paraId="2E851991" w14:textId="77777777" w:rsidR="00750E40" w:rsidRPr="00C21AEE" w:rsidRDefault="00C21AEE" w:rsidP="00C21AEE">
      <w:pPr>
        <w:pStyle w:val="ListParagraph"/>
        <w:numPr>
          <w:ilvl w:val="0"/>
          <w:numId w:val="1"/>
        </w:numPr>
        <w:rPr>
          <w:rFonts w:ascii="Calibri" w:eastAsia="Calibri" w:hAnsi="Calibri"/>
        </w:rPr>
      </w:pPr>
      <w:r>
        <w:rPr>
          <w:rFonts w:ascii="Calibri" w:eastAsia="Calibri" w:hAnsi="Calibri"/>
        </w:rPr>
        <w:t>Secure CAG amendment / other necessary security approvals for changes to un-consented patient data processing</w:t>
      </w:r>
      <w:r w:rsidR="006A0C1E">
        <w:rPr>
          <w:rFonts w:ascii="Calibri" w:eastAsia="Calibri" w:hAnsi="Calibri"/>
        </w:rPr>
        <w:t xml:space="preserve"> and/or storage of identifiable data</w:t>
      </w:r>
    </w:p>
    <w:p w14:paraId="4332A2B2" w14:textId="77777777" w:rsidR="00750E40" w:rsidRDefault="00750E40" w:rsidP="00750E40">
      <w:pPr>
        <w:pStyle w:val="ListParagraph"/>
        <w:numPr>
          <w:ilvl w:val="0"/>
          <w:numId w:val="1"/>
        </w:numPr>
        <w:rPr>
          <w:rFonts w:ascii="Calibri" w:eastAsia="Calibri" w:hAnsi="Calibri"/>
        </w:rPr>
      </w:pPr>
      <w:r>
        <w:rPr>
          <w:rFonts w:ascii="Calibri" w:eastAsia="Calibri" w:hAnsi="Calibri"/>
        </w:rPr>
        <w:t>Work with a Trust or small group of Trusts to develop and test a data flow</w:t>
      </w:r>
    </w:p>
    <w:p w14:paraId="08986A66" w14:textId="77777777" w:rsidR="00750E40" w:rsidRPr="00750E40" w:rsidRDefault="00E81ECF" w:rsidP="00750E40">
      <w:pPr>
        <w:pStyle w:val="ListParagraph"/>
        <w:numPr>
          <w:ilvl w:val="0"/>
          <w:numId w:val="1"/>
        </w:numPr>
        <w:rPr>
          <w:rFonts w:ascii="Calibri" w:eastAsia="Calibri" w:hAnsi="Calibri"/>
        </w:rPr>
      </w:pPr>
      <w:r>
        <w:rPr>
          <w:rFonts w:ascii="Calibri" w:eastAsia="Calibri" w:hAnsi="Calibri"/>
        </w:rPr>
        <w:t>Develop</w:t>
      </w:r>
      <w:r w:rsidR="00750E40">
        <w:rPr>
          <w:rFonts w:ascii="Calibri" w:eastAsia="Calibri" w:hAnsi="Calibri"/>
        </w:rPr>
        <w:t xml:space="preserve"> an opensource API/transfer schema that </w:t>
      </w:r>
      <w:r>
        <w:rPr>
          <w:rFonts w:ascii="Calibri" w:eastAsia="Calibri" w:hAnsi="Calibri"/>
        </w:rPr>
        <w:t>is available and can be applied by other T</w:t>
      </w:r>
      <w:r w:rsidR="00750E40">
        <w:rPr>
          <w:rFonts w:ascii="Calibri" w:eastAsia="Calibri" w:hAnsi="Calibri"/>
        </w:rPr>
        <w:t>rusts</w:t>
      </w:r>
      <w:r w:rsidR="00B41938">
        <w:rPr>
          <w:rFonts w:ascii="Calibri" w:eastAsia="Calibri" w:hAnsi="Calibri"/>
        </w:rPr>
        <w:t>.</w:t>
      </w:r>
      <w:r w:rsidR="00750E40">
        <w:rPr>
          <w:rFonts w:ascii="Calibri" w:eastAsia="Calibri" w:hAnsi="Calibri"/>
        </w:rPr>
        <w:t xml:space="preserve"> </w:t>
      </w:r>
    </w:p>
    <w:p w14:paraId="5A367576" w14:textId="77777777" w:rsidR="001175ED" w:rsidRDefault="00047E92">
      <w:pPr>
        <w:rPr>
          <w:rFonts w:ascii="Calibri" w:eastAsia="Calibri" w:hAnsi="Calibri"/>
        </w:rPr>
      </w:pPr>
      <w:r>
        <w:rPr>
          <w:rFonts w:ascii="Calibri" w:eastAsia="Calibri" w:hAnsi="Calibri"/>
        </w:rPr>
        <w:t>Longer term</w:t>
      </w:r>
      <w:r w:rsidR="00B41938">
        <w:rPr>
          <w:rFonts w:ascii="Calibri" w:eastAsia="Calibri" w:hAnsi="Calibri"/>
        </w:rPr>
        <w:t xml:space="preserve"> - beyond this project -</w:t>
      </w:r>
      <w:r w:rsidR="001175ED">
        <w:rPr>
          <w:rFonts w:ascii="Calibri" w:eastAsia="Calibri" w:hAnsi="Calibri"/>
        </w:rPr>
        <w:t xml:space="preserve"> we would</w:t>
      </w:r>
      <w:r w:rsidR="00B41938">
        <w:rPr>
          <w:rFonts w:ascii="Calibri" w:eastAsia="Calibri" w:hAnsi="Calibri"/>
        </w:rPr>
        <w:t xml:space="preserve"> want </w:t>
      </w:r>
      <w:r w:rsidR="001175ED">
        <w:rPr>
          <w:rFonts w:ascii="Calibri" w:eastAsia="Calibri" w:hAnsi="Calibri"/>
        </w:rPr>
        <w:t>to</w:t>
      </w:r>
      <w:r w:rsidR="00750E40">
        <w:rPr>
          <w:rFonts w:ascii="Calibri" w:eastAsia="Calibri" w:hAnsi="Calibri"/>
        </w:rPr>
        <w:t xml:space="preserve"> </w:t>
      </w:r>
      <w:r w:rsidR="00E81ECF">
        <w:rPr>
          <w:rFonts w:ascii="Calibri" w:eastAsia="Calibri" w:hAnsi="Calibri"/>
        </w:rPr>
        <w:t xml:space="preserve">expand </w:t>
      </w:r>
      <w:r w:rsidR="00B41938">
        <w:rPr>
          <w:rFonts w:ascii="Calibri" w:eastAsia="Calibri" w:hAnsi="Calibri"/>
        </w:rPr>
        <w:t xml:space="preserve">data extraction across the other </w:t>
      </w:r>
      <w:r w:rsidR="00E81ECF">
        <w:rPr>
          <w:rFonts w:ascii="Calibri" w:eastAsia="Calibri" w:hAnsi="Calibri"/>
        </w:rPr>
        <w:t xml:space="preserve">Trust(s) </w:t>
      </w:r>
      <w:r w:rsidR="00B41938">
        <w:rPr>
          <w:rFonts w:ascii="Calibri" w:eastAsia="Calibri" w:hAnsi="Calibri"/>
        </w:rPr>
        <w:t xml:space="preserve">and into Wales. We would also hope to continue to </w:t>
      </w:r>
      <w:r w:rsidR="00750E40">
        <w:rPr>
          <w:rFonts w:ascii="Calibri" w:eastAsia="Calibri" w:hAnsi="Calibri"/>
        </w:rPr>
        <w:t>build on th</w:t>
      </w:r>
      <w:r w:rsidR="00E81ECF">
        <w:rPr>
          <w:rFonts w:ascii="Calibri" w:eastAsia="Calibri" w:hAnsi="Calibri"/>
        </w:rPr>
        <w:t>e</w:t>
      </w:r>
      <w:r w:rsidR="00750E40">
        <w:rPr>
          <w:rFonts w:ascii="Calibri" w:eastAsia="Calibri" w:hAnsi="Calibri"/>
        </w:rPr>
        <w:t xml:space="preserve"> initial </w:t>
      </w:r>
      <w:r w:rsidR="00E81ECF">
        <w:rPr>
          <w:rFonts w:ascii="Calibri" w:eastAsia="Calibri" w:hAnsi="Calibri"/>
        </w:rPr>
        <w:t xml:space="preserve">data </w:t>
      </w:r>
      <w:proofErr w:type="gramStart"/>
      <w:r w:rsidR="00E81ECF">
        <w:rPr>
          <w:rFonts w:ascii="Calibri" w:eastAsia="Calibri" w:hAnsi="Calibri"/>
        </w:rPr>
        <w:t>flow</w:t>
      </w:r>
      <w:r w:rsidR="00B41938">
        <w:rPr>
          <w:rFonts w:ascii="Calibri" w:eastAsia="Calibri" w:hAnsi="Calibri"/>
        </w:rPr>
        <w:t>;</w:t>
      </w:r>
      <w:proofErr w:type="gramEnd"/>
      <w:r w:rsidR="00B41938">
        <w:rPr>
          <w:rFonts w:ascii="Calibri" w:eastAsia="Calibri" w:hAnsi="Calibri"/>
        </w:rPr>
        <w:t xml:space="preserve"> e.g.</w:t>
      </w:r>
      <w:r w:rsidR="00E81ECF">
        <w:rPr>
          <w:rFonts w:ascii="Calibri" w:eastAsia="Calibri" w:hAnsi="Calibri"/>
        </w:rPr>
        <w:t xml:space="preserve"> to develop </w:t>
      </w:r>
      <w:r w:rsidR="001175ED">
        <w:rPr>
          <w:rFonts w:ascii="Calibri" w:eastAsia="Calibri" w:hAnsi="Calibri"/>
        </w:rPr>
        <w:t>link</w:t>
      </w:r>
      <w:r w:rsidR="00E81ECF">
        <w:rPr>
          <w:rFonts w:ascii="Calibri" w:eastAsia="Calibri" w:hAnsi="Calibri"/>
        </w:rPr>
        <w:t>s</w:t>
      </w:r>
      <w:r w:rsidR="001175ED">
        <w:rPr>
          <w:rFonts w:ascii="Calibri" w:eastAsia="Calibri" w:hAnsi="Calibri"/>
        </w:rPr>
        <w:t xml:space="preserve"> to other sources (such as HES), </w:t>
      </w:r>
      <w:r w:rsidR="00750E40">
        <w:rPr>
          <w:rFonts w:ascii="Calibri" w:eastAsia="Calibri" w:hAnsi="Calibri"/>
        </w:rPr>
        <w:t xml:space="preserve">explore text recognition (as things like medications and investigations are often free text in records), </w:t>
      </w:r>
      <w:r>
        <w:rPr>
          <w:rFonts w:ascii="Calibri" w:eastAsia="Calibri" w:hAnsi="Calibri"/>
        </w:rPr>
        <w:t xml:space="preserve">include the Epilepsy12 organisational audit dataset, </w:t>
      </w:r>
      <w:r w:rsidR="001175ED">
        <w:rPr>
          <w:rFonts w:ascii="Calibri" w:eastAsia="Calibri" w:hAnsi="Calibri"/>
        </w:rPr>
        <w:t>and have pat</w:t>
      </w:r>
      <w:r w:rsidR="00E81ECF">
        <w:rPr>
          <w:rFonts w:ascii="Calibri" w:eastAsia="Calibri" w:hAnsi="Calibri"/>
        </w:rPr>
        <w:t xml:space="preserve">ient-facing </w:t>
      </w:r>
      <w:r w:rsidR="00B41938">
        <w:rPr>
          <w:rFonts w:ascii="Calibri" w:eastAsia="Calibri" w:hAnsi="Calibri"/>
        </w:rPr>
        <w:t>elements</w:t>
      </w:r>
      <w:r w:rsidR="001175ED">
        <w:rPr>
          <w:rFonts w:ascii="Calibri" w:eastAsia="Calibri" w:hAnsi="Calibri"/>
        </w:rPr>
        <w:t xml:space="preserve">. </w:t>
      </w:r>
    </w:p>
    <w:p w14:paraId="764528B9" w14:textId="77777777" w:rsidR="0012787B" w:rsidRDefault="0012787B" w:rsidP="0012787B">
      <w:pPr>
        <w:rPr>
          <w:rFonts w:ascii="Calibri" w:eastAsia="Calibri" w:hAnsi="Calibri"/>
        </w:rPr>
      </w:pPr>
      <w:r>
        <w:rPr>
          <w:rFonts w:ascii="Calibri" w:eastAsia="Calibri" w:hAnsi="Calibri"/>
        </w:rPr>
        <w:lastRenderedPageBreak/>
        <w:t xml:space="preserve">*Registration and the First Year of Care would be the areas to focus on. Registration is how we identify eligible patients, and the first year of care form is the main source for our analysis and audit reporting. </w:t>
      </w:r>
    </w:p>
    <w:p w14:paraId="563840E2" w14:textId="77777777" w:rsidR="00047E92" w:rsidRPr="00AA045D" w:rsidRDefault="00047E92">
      <w:pPr>
        <w:rPr>
          <w:b/>
          <w:sz w:val="32"/>
        </w:rPr>
      </w:pPr>
    </w:p>
    <w:p w14:paraId="471E0BB9" w14:textId="77777777" w:rsidR="0053426B" w:rsidRPr="00AA045D" w:rsidRDefault="0053426B">
      <w:pPr>
        <w:rPr>
          <w:b/>
          <w:sz w:val="32"/>
        </w:rPr>
      </w:pPr>
      <w:r w:rsidRPr="00AA045D">
        <w:rPr>
          <w:b/>
          <w:sz w:val="32"/>
        </w:rPr>
        <w:t>Current dataflow</w:t>
      </w:r>
    </w:p>
    <w:p w14:paraId="66B48814" w14:textId="77777777" w:rsidR="00B41938" w:rsidRPr="00B41938" w:rsidRDefault="00047E92">
      <w:pPr>
        <w:rPr>
          <w:b/>
        </w:rPr>
      </w:pPr>
      <w:r w:rsidRPr="00047E92">
        <w:rPr>
          <w:b/>
          <w:noProof/>
        </w:rPr>
        <w:drawing>
          <wp:inline distT="0" distB="0" distL="0" distR="0" wp14:anchorId="797F0E60" wp14:editId="1A577BE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6D5593C" w14:textId="77777777" w:rsidR="009315C5" w:rsidRDefault="00AA045D">
      <w:r>
        <w:t>The Epilepsy12 data platform splits each audit form into tabs. I’ve pasted screen shots below to show the</w:t>
      </w:r>
      <w:r w:rsidR="009315C5">
        <w:t>se</w:t>
      </w:r>
      <w:r>
        <w:t>. We collect a lot of dates which may be a place to focus data extraction on; these record key professional input</w:t>
      </w:r>
      <w:r w:rsidR="009315C5">
        <w:t xml:space="preserve"> into care</w:t>
      </w:r>
      <w:r>
        <w:t xml:space="preserve"> and investigations</w:t>
      </w:r>
      <w:r w:rsidR="009315C5">
        <w:t xml:space="preserve">/services provided. </w:t>
      </w:r>
      <w:r>
        <w:t xml:space="preserve"> </w:t>
      </w:r>
    </w:p>
    <w:p w14:paraId="31CD10D7" w14:textId="77777777" w:rsidR="00CE6124" w:rsidRDefault="009315C5">
      <w:r>
        <w:t xml:space="preserve">The underlying structure of the data platform follows these tabs, broadly at least. Most tabs are stored as a table. We have some basic reporting functions built into that platform (dashboards with case numbers etc). </w:t>
      </w:r>
      <w:proofErr w:type="gramStart"/>
      <w:r>
        <w:t>However</w:t>
      </w:r>
      <w:proofErr w:type="gramEnd"/>
      <w:r>
        <w:t xml:space="preserve"> we extract the different tables in csv form, then build/clean a dataset to complete analysis for the audit outside of the data platform.</w:t>
      </w:r>
    </w:p>
    <w:p w14:paraId="230BCADE" w14:textId="77777777" w:rsidR="0012787B" w:rsidRDefault="0012787B">
      <w:pPr>
        <w:rPr>
          <w:b/>
        </w:rPr>
      </w:pPr>
      <w:r>
        <w:rPr>
          <w:b/>
        </w:rPr>
        <w:br w:type="page"/>
      </w:r>
    </w:p>
    <w:p w14:paraId="16727A6C" w14:textId="77777777" w:rsidR="00AA045D" w:rsidRDefault="00AA045D" w:rsidP="00AA045D">
      <w:r w:rsidRPr="00AA045D">
        <w:rPr>
          <w:b/>
          <w:sz w:val="32"/>
        </w:rPr>
        <w:lastRenderedPageBreak/>
        <w:t>Registration and verification form</w:t>
      </w:r>
      <w:r>
        <w:t xml:space="preserve">. </w:t>
      </w:r>
    </w:p>
    <w:p w14:paraId="40CF378F" w14:textId="77777777" w:rsidR="00AA045D" w:rsidRPr="00AA045D" w:rsidRDefault="00AA045D" w:rsidP="00AA045D">
      <w:r>
        <w:t xml:space="preserve">EEG services can complete tab 1; epilepsy teams can complete tab 2 to accept patients registered by EEG. </w:t>
      </w:r>
      <w:proofErr w:type="gramStart"/>
      <w:r>
        <w:t>Or,</w:t>
      </w:r>
      <w:proofErr w:type="gramEnd"/>
      <w:r>
        <w:t xml:space="preserve"> epilepsy teams complete tabs 1 and 2 to register a patient directly.  </w:t>
      </w:r>
    </w:p>
    <w:p w14:paraId="689336DF" w14:textId="77777777" w:rsidR="0053426B" w:rsidRDefault="00047E92">
      <w:r>
        <w:rPr>
          <w:noProof/>
          <w:lang w:eastAsia="en-GB"/>
        </w:rPr>
        <w:drawing>
          <wp:inline distT="0" distB="0" distL="0" distR="0" wp14:anchorId="293A011A" wp14:editId="3148F94B">
            <wp:extent cx="5727700" cy="50800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080000"/>
                    </a:xfrm>
                    <a:prstGeom prst="rect">
                      <a:avLst/>
                    </a:prstGeom>
                    <a:noFill/>
                    <a:ln>
                      <a:noFill/>
                    </a:ln>
                  </pic:spPr>
                </pic:pic>
              </a:graphicData>
            </a:graphic>
          </wp:inline>
        </w:drawing>
      </w:r>
    </w:p>
    <w:p w14:paraId="72AD059D" w14:textId="77777777" w:rsidR="00047E92" w:rsidRDefault="00047E92">
      <w:r>
        <w:rPr>
          <w:noProof/>
          <w:lang w:eastAsia="en-GB"/>
        </w:rPr>
        <w:lastRenderedPageBreak/>
        <w:drawing>
          <wp:inline distT="0" distB="0" distL="0" distR="0" wp14:anchorId="57908A96" wp14:editId="5F217C40">
            <wp:extent cx="5727700" cy="3155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155950"/>
                    </a:xfrm>
                    <a:prstGeom prst="rect">
                      <a:avLst/>
                    </a:prstGeom>
                    <a:noFill/>
                    <a:ln>
                      <a:noFill/>
                    </a:ln>
                  </pic:spPr>
                </pic:pic>
              </a:graphicData>
            </a:graphic>
          </wp:inline>
        </w:drawing>
      </w:r>
    </w:p>
    <w:p w14:paraId="72BD5ADB" w14:textId="77777777" w:rsidR="00AA045D" w:rsidRDefault="00AA045D">
      <w:pPr>
        <w:rPr>
          <w:b/>
          <w:sz w:val="32"/>
        </w:rPr>
      </w:pPr>
      <w:r>
        <w:rPr>
          <w:b/>
          <w:sz w:val="32"/>
        </w:rPr>
        <w:br w:type="page"/>
      </w:r>
    </w:p>
    <w:p w14:paraId="65538974" w14:textId="77777777" w:rsidR="00AA045D" w:rsidRPr="00AA045D" w:rsidRDefault="00704A31">
      <w:pPr>
        <w:rPr>
          <w:b/>
          <w:sz w:val="32"/>
        </w:rPr>
      </w:pPr>
      <w:r w:rsidRPr="00AA045D">
        <w:rPr>
          <w:b/>
          <w:sz w:val="32"/>
        </w:rPr>
        <w:lastRenderedPageBreak/>
        <w:t xml:space="preserve">First Assessment / First Year of Care form </w:t>
      </w:r>
    </w:p>
    <w:p w14:paraId="50CD17C2" w14:textId="77777777" w:rsidR="00704A31" w:rsidRDefault="00704A31">
      <w:r>
        <w:t>The same fields are used for both</w:t>
      </w:r>
      <w:r w:rsidR="00AA045D">
        <w:t xml:space="preserve"> stages. The </w:t>
      </w:r>
      <w:r>
        <w:t xml:space="preserve">system currently pulls data entered in the first assessment </w:t>
      </w:r>
      <w:r w:rsidR="00AA045D">
        <w:t xml:space="preserve">form </w:t>
      </w:r>
      <w:r>
        <w:t>into the second form so it can be reviewed and updated for care provided</w:t>
      </w:r>
      <w:r w:rsidR="00AA045D">
        <w:t xml:space="preserve"> over the whole 12 months. However, our analysis is only using a small set of the fields in the first assessment form, so we plan to reduce this and focus on the first year of care form.</w:t>
      </w:r>
    </w:p>
    <w:p w14:paraId="6715478A" w14:textId="77777777" w:rsidR="0012787B" w:rsidRDefault="0012787B">
      <w:r>
        <w:rPr>
          <w:noProof/>
          <w:lang w:eastAsia="en-GB"/>
        </w:rPr>
        <w:drawing>
          <wp:inline distT="0" distB="0" distL="0" distR="0" wp14:anchorId="22A88256" wp14:editId="359CE3FA">
            <wp:extent cx="5727700" cy="5778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5778500"/>
                    </a:xfrm>
                    <a:prstGeom prst="rect">
                      <a:avLst/>
                    </a:prstGeom>
                    <a:noFill/>
                    <a:ln>
                      <a:noFill/>
                    </a:ln>
                  </pic:spPr>
                </pic:pic>
              </a:graphicData>
            </a:graphic>
          </wp:inline>
        </w:drawing>
      </w:r>
    </w:p>
    <w:p w14:paraId="36665FB6" w14:textId="77777777" w:rsidR="0012787B" w:rsidRDefault="0012787B">
      <w:r>
        <w:rPr>
          <w:noProof/>
          <w:lang w:eastAsia="en-GB"/>
        </w:rPr>
        <w:lastRenderedPageBreak/>
        <w:drawing>
          <wp:inline distT="0" distB="0" distL="0" distR="0" wp14:anchorId="5EE2B347" wp14:editId="3A04933E">
            <wp:extent cx="573405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4057650"/>
                    </a:xfrm>
                    <a:prstGeom prst="rect">
                      <a:avLst/>
                    </a:prstGeom>
                    <a:noFill/>
                    <a:ln>
                      <a:noFill/>
                    </a:ln>
                  </pic:spPr>
                </pic:pic>
              </a:graphicData>
            </a:graphic>
          </wp:inline>
        </w:drawing>
      </w:r>
    </w:p>
    <w:p w14:paraId="10729626" w14:textId="77777777" w:rsidR="0012787B" w:rsidRDefault="0012787B">
      <w:r>
        <w:rPr>
          <w:noProof/>
          <w:lang w:eastAsia="en-GB"/>
        </w:rPr>
        <w:lastRenderedPageBreak/>
        <w:drawing>
          <wp:inline distT="0" distB="0" distL="0" distR="0" wp14:anchorId="5C91934E" wp14:editId="57CCF2BF">
            <wp:extent cx="5727700" cy="6140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6140450"/>
                    </a:xfrm>
                    <a:prstGeom prst="rect">
                      <a:avLst/>
                    </a:prstGeom>
                    <a:noFill/>
                    <a:ln>
                      <a:noFill/>
                    </a:ln>
                  </pic:spPr>
                </pic:pic>
              </a:graphicData>
            </a:graphic>
          </wp:inline>
        </w:drawing>
      </w:r>
    </w:p>
    <w:p w14:paraId="16F6D8CB" w14:textId="77777777" w:rsidR="0012787B" w:rsidRDefault="0012787B">
      <w:r>
        <w:rPr>
          <w:noProof/>
          <w:lang w:eastAsia="en-GB"/>
        </w:rPr>
        <w:lastRenderedPageBreak/>
        <w:drawing>
          <wp:inline distT="0" distB="0" distL="0" distR="0" wp14:anchorId="6C897A4D" wp14:editId="7125D1E8">
            <wp:extent cx="5727700" cy="6026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6026150"/>
                    </a:xfrm>
                    <a:prstGeom prst="rect">
                      <a:avLst/>
                    </a:prstGeom>
                    <a:noFill/>
                    <a:ln>
                      <a:noFill/>
                    </a:ln>
                  </pic:spPr>
                </pic:pic>
              </a:graphicData>
            </a:graphic>
          </wp:inline>
        </w:drawing>
      </w:r>
    </w:p>
    <w:p w14:paraId="16E7A4F0" w14:textId="77777777" w:rsidR="00704A31" w:rsidRDefault="00704A31">
      <w:r>
        <w:t xml:space="preserve">NB. 5.1, 5.2, 5.3, 5.4, 5.5 all expand. They are each stored as separate tables in the system. </w:t>
      </w:r>
    </w:p>
    <w:p w14:paraId="4FAF3FB6" w14:textId="77777777" w:rsidR="00704A31" w:rsidRDefault="00704A31">
      <w:proofErr w:type="gramStart"/>
      <w:r>
        <w:t>E.g.</w:t>
      </w:r>
      <w:proofErr w:type="gramEnd"/>
      <w:r>
        <w:t xml:space="preserve"> for 5.1:</w:t>
      </w:r>
    </w:p>
    <w:p w14:paraId="112C0F9F" w14:textId="77777777" w:rsidR="00704A31" w:rsidRDefault="00704A31">
      <w:r>
        <w:rPr>
          <w:noProof/>
          <w:lang w:eastAsia="en-GB"/>
        </w:rPr>
        <w:lastRenderedPageBreak/>
        <w:drawing>
          <wp:inline distT="0" distB="0" distL="0" distR="0" wp14:anchorId="52F2ADE3" wp14:editId="4305BA00">
            <wp:extent cx="5727700" cy="79565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956550"/>
                    </a:xfrm>
                    <a:prstGeom prst="rect">
                      <a:avLst/>
                    </a:prstGeom>
                    <a:noFill/>
                    <a:ln>
                      <a:noFill/>
                    </a:ln>
                  </pic:spPr>
                </pic:pic>
              </a:graphicData>
            </a:graphic>
          </wp:inline>
        </w:drawing>
      </w:r>
    </w:p>
    <w:p w14:paraId="62600CD1" w14:textId="77777777" w:rsidR="00704A31" w:rsidRDefault="00704A31">
      <w:r>
        <w:t>And 5.2:</w:t>
      </w:r>
    </w:p>
    <w:p w14:paraId="19D8A7C3" w14:textId="77777777" w:rsidR="00704A31" w:rsidRDefault="00704A31">
      <w:r>
        <w:rPr>
          <w:noProof/>
          <w:lang w:eastAsia="en-GB"/>
        </w:rPr>
        <w:lastRenderedPageBreak/>
        <w:drawing>
          <wp:inline distT="0" distB="0" distL="0" distR="0" wp14:anchorId="4DBD785A" wp14:editId="78BEF32D">
            <wp:extent cx="5727700" cy="22288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27A8A4A8" w14:textId="77777777" w:rsidR="00704A31" w:rsidRDefault="00704A31">
      <w:r>
        <w:rPr>
          <w:noProof/>
          <w:lang w:eastAsia="en-GB"/>
        </w:rPr>
        <w:drawing>
          <wp:inline distT="0" distB="0" distL="0" distR="0" wp14:anchorId="5084076C" wp14:editId="741DA0A9">
            <wp:extent cx="5721350" cy="558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5588000"/>
                    </a:xfrm>
                    <a:prstGeom prst="rect">
                      <a:avLst/>
                    </a:prstGeom>
                    <a:noFill/>
                    <a:ln>
                      <a:noFill/>
                    </a:ln>
                  </pic:spPr>
                </pic:pic>
              </a:graphicData>
            </a:graphic>
          </wp:inline>
        </w:drawing>
      </w:r>
    </w:p>
    <w:p w14:paraId="0BC17915" w14:textId="77777777" w:rsidR="00704A31" w:rsidRDefault="00704A31">
      <w:r>
        <w:rPr>
          <w:noProof/>
          <w:lang w:eastAsia="en-GB"/>
        </w:rPr>
        <w:lastRenderedPageBreak/>
        <w:drawing>
          <wp:inline distT="0" distB="0" distL="0" distR="0" wp14:anchorId="2FA958D9" wp14:editId="0EC25494">
            <wp:extent cx="5721350" cy="567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5670550"/>
                    </a:xfrm>
                    <a:prstGeom prst="rect">
                      <a:avLst/>
                    </a:prstGeom>
                    <a:noFill/>
                    <a:ln>
                      <a:noFill/>
                    </a:ln>
                  </pic:spPr>
                </pic:pic>
              </a:graphicData>
            </a:graphic>
          </wp:inline>
        </w:drawing>
      </w:r>
    </w:p>
    <w:p w14:paraId="184EC903" w14:textId="77777777" w:rsidR="00704A31" w:rsidRDefault="00704A31">
      <w:r>
        <w:rPr>
          <w:noProof/>
          <w:lang w:eastAsia="en-GB"/>
        </w:rPr>
        <w:lastRenderedPageBreak/>
        <w:drawing>
          <wp:inline distT="0" distB="0" distL="0" distR="0" wp14:anchorId="503359C7" wp14:editId="5D0800FB">
            <wp:extent cx="5727700" cy="6267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6267450"/>
                    </a:xfrm>
                    <a:prstGeom prst="rect">
                      <a:avLst/>
                    </a:prstGeom>
                    <a:noFill/>
                    <a:ln>
                      <a:noFill/>
                    </a:ln>
                  </pic:spPr>
                </pic:pic>
              </a:graphicData>
            </a:graphic>
          </wp:inline>
        </w:drawing>
      </w:r>
    </w:p>
    <w:p w14:paraId="21823C47" w14:textId="77777777" w:rsidR="00704A31" w:rsidRDefault="00704A31">
      <w:r>
        <w:rPr>
          <w:noProof/>
          <w:lang w:eastAsia="en-GB"/>
        </w:rPr>
        <w:lastRenderedPageBreak/>
        <w:drawing>
          <wp:inline distT="0" distB="0" distL="0" distR="0" wp14:anchorId="171A8749" wp14:editId="6FC4B6C9">
            <wp:extent cx="5727700" cy="6991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6991350"/>
                    </a:xfrm>
                    <a:prstGeom prst="rect">
                      <a:avLst/>
                    </a:prstGeom>
                    <a:noFill/>
                    <a:ln>
                      <a:noFill/>
                    </a:ln>
                  </pic:spPr>
                </pic:pic>
              </a:graphicData>
            </a:graphic>
          </wp:inline>
        </w:drawing>
      </w:r>
    </w:p>
    <w:p w14:paraId="1C4F2E83" w14:textId="77777777" w:rsidR="00704A31" w:rsidRDefault="00704A31">
      <w:r>
        <w:t>NB. 8.15, 8.16, 8.21 expand and are stored as separate tables by the system.</w:t>
      </w:r>
    </w:p>
    <w:p w14:paraId="24B80C57" w14:textId="77777777" w:rsidR="00704A31" w:rsidRDefault="00704A31"/>
    <w:p w14:paraId="43BE3AA6" w14:textId="77777777" w:rsidR="00704A31" w:rsidRDefault="00704A31">
      <w:r>
        <w:rPr>
          <w:noProof/>
          <w:lang w:eastAsia="en-GB"/>
        </w:rPr>
        <w:lastRenderedPageBreak/>
        <w:drawing>
          <wp:inline distT="0" distB="0" distL="0" distR="0" wp14:anchorId="68A530DB" wp14:editId="24503ADF">
            <wp:extent cx="5721350" cy="337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378200"/>
                    </a:xfrm>
                    <a:prstGeom prst="rect">
                      <a:avLst/>
                    </a:prstGeom>
                    <a:noFill/>
                    <a:ln>
                      <a:noFill/>
                    </a:ln>
                  </pic:spPr>
                </pic:pic>
              </a:graphicData>
            </a:graphic>
          </wp:inline>
        </w:drawing>
      </w:r>
    </w:p>
    <w:p w14:paraId="73DCD25C" w14:textId="77777777" w:rsidR="00704A31" w:rsidRDefault="00704A31">
      <w:r>
        <w:rPr>
          <w:noProof/>
          <w:lang w:eastAsia="en-GB"/>
        </w:rPr>
        <w:lastRenderedPageBreak/>
        <w:drawing>
          <wp:inline distT="0" distB="0" distL="0" distR="0" wp14:anchorId="34EF3369" wp14:editId="5794180A">
            <wp:extent cx="5727700" cy="7188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7188200"/>
                    </a:xfrm>
                    <a:prstGeom prst="rect">
                      <a:avLst/>
                    </a:prstGeom>
                    <a:noFill/>
                    <a:ln>
                      <a:noFill/>
                    </a:ln>
                  </pic:spPr>
                </pic:pic>
              </a:graphicData>
            </a:graphic>
          </wp:inline>
        </w:drawing>
      </w:r>
    </w:p>
    <w:sectPr w:rsidR="00704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A0CE9"/>
    <w:multiLevelType w:val="hybridMultilevel"/>
    <w:tmpl w:val="01CC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26B"/>
    <w:rsid w:val="00047E92"/>
    <w:rsid w:val="001175ED"/>
    <w:rsid w:val="0012787B"/>
    <w:rsid w:val="004B0A13"/>
    <w:rsid w:val="0053426B"/>
    <w:rsid w:val="006A0C1E"/>
    <w:rsid w:val="00704A31"/>
    <w:rsid w:val="00750E40"/>
    <w:rsid w:val="008A5FA0"/>
    <w:rsid w:val="00930FCA"/>
    <w:rsid w:val="009315C5"/>
    <w:rsid w:val="00AA045D"/>
    <w:rsid w:val="00B41938"/>
    <w:rsid w:val="00B42B54"/>
    <w:rsid w:val="00C21AEE"/>
    <w:rsid w:val="00CE6124"/>
    <w:rsid w:val="00E81EC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20DF4"/>
  <w15:chartTrackingRefBased/>
  <w15:docId w15:val="{A4943F98-E79E-4E2B-A852-29A95E8E1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E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Stacey</dc:creator>
  <cp:keywords/>
  <dc:description/>
  <cp:lastModifiedBy>Simon Chapman</cp:lastModifiedBy>
  <cp:revision>2</cp:revision>
  <dcterms:created xsi:type="dcterms:W3CDTF">2021-08-11T12:52:00Z</dcterms:created>
  <dcterms:modified xsi:type="dcterms:W3CDTF">2021-08-11T12:52:00Z</dcterms:modified>
</cp:coreProperties>
</file>