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CytoAutoCluster Project Documentation</w:t>
      </w:r>
    </w:p>
    <w:p>
      <w:pPr>
        <w:pStyle w:val="Heading2"/>
      </w:pPr>
      <w:r>
        <w:t>Project Process Overview</w:t>
      </w:r>
    </w:p>
    <w:p>
      <w:pPr>
        <w:pStyle w:val="Heading3"/>
      </w:pPr>
      <w:r>
        <w:t>Dimensionality Reduction Techniques: PCA and t-SNE</w:t>
      </w:r>
    </w:p>
    <w:p>
      <w:r>
        <w:br/>
        <w:t>Purpose: PCA and t-SNE were employed for reducing data dimensions, allowing better visualization of clusters while preserving key patterns. PCA captures linear variance, while t-SNE provides a nonlinear view, clustering similar data points.</w:t>
        <w:br/>
        <w:t>Challenges: Selecting optimal components for PCA and tuning t-SNE’s perplexity and iterations were complex, as misconfiguration could distort cluster formations.</w:t>
        <w:br/>
        <w:t>Outcomes: PCA highlighted primary variance directions, and t-SNE visualized distinct clusters, setting the foundation for further dimensionality reduction with Autoencoders.</w:t>
        <w:br/>
      </w:r>
    </w:p>
    <w:p>
      <w:pPr>
        <w:pStyle w:val="Heading3"/>
      </w:pPr>
      <w:r>
        <w:t>Autoencoders for Feature Extraction</w:t>
      </w:r>
    </w:p>
    <w:p>
      <w:r>
        <w:br/>
        <w:t>Purpose: Autoencoders compressed the high-dimensional data into latent features, improving representation for clustering. The aim was to balance efficient encoding with minimal information loss.</w:t>
        <w:br/>
        <w:t>Challenges: Hyperparameter tuning to prevent overfitting and deciding the bottleneck layer size were key challenges.</w:t>
        <w:br/>
        <w:t>Outcomes: Autoencoders successfully captured core features, enhancing data representation and paving the way for semi-supervised learning on imbalanced data.</w:t>
        <w:br/>
      </w:r>
    </w:p>
    <w:p>
      <w:pPr>
        <w:pStyle w:val="Heading3"/>
      </w:pPr>
      <w:r>
        <w:t>Semi-Supervised Learning (SSL)</w:t>
      </w:r>
    </w:p>
    <w:p>
      <w:r>
        <w:br/>
        <w:t>Purpose: SSL was applied to leverage both labeled and unlabeled data, utilizing techniques like entropy minimization and consistency regularization to maximize the model’s learning potential.</w:t>
        <w:br/>
        <w:t>Challenges: Implementing regularization methods to generalize the model effectively was challenging, requiring extensive experimentation with SSL parameters.</w:t>
        <w:br/>
        <w:t>Outcomes: SSL enhanced model performance by effectively learning from unlabeled data, supporting data corruption techniques in the next phase.</w:t>
        <w:br/>
      </w:r>
    </w:p>
    <w:p>
      <w:pPr>
        <w:pStyle w:val="Heading3"/>
      </w:pPr>
      <w:r>
        <w:t>Data Corruption Techniques</w:t>
      </w:r>
    </w:p>
    <w:p>
      <w:r>
        <w:br/>
        <w:t>Purpose: Binary masking and data shuffling introduced controlled noise, encouraging model robustness by simulating data variability.</w:t>
        <w:br/>
        <w:t>Challenges: Balancing data masking levels to obscure features without distorting patterns was essential.</w:t>
        <w:br/>
        <w:t>Outcomes: Data corruption techniques improved the model’s adaptability, enabling it to identify key patterns in noisy or partial data. This prepared the data for initial model testing.</w:t>
        <w:br/>
      </w:r>
    </w:p>
    <w:p>
      <w:pPr>
        <w:pStyle w:val="Heading3"/>
      </w:pPr>
      <w:r>
        <w:t>Model Development and Evaluation</w:t>
      </w:r>
    </w:p>
    <w:p>
      <w:r>
        <w:br/>
        <w:t>Logistic Regression and XGBoost: These models provided a baseline (Logistic Regression) and high performance (XGBoost) with encoded data. XGBoost’s ability to handle complex structures complemented Logistic Regression’s simplicity.</w:t>
        <w:br/>
        <w:t>Challenges: Overfitting prevention through feature scaling and loss value adjustments were necessary to optimize performance.</w:t>
        <w:br/>
        <w:t>Outcomes: Both models leveraged encoded features effectively. XGBoost, in particular, showed strong accuracy on complex data, leading to Encoder model exploration.</w:t>
        <w:br/>
      </w:r>
    </w:p>
    <w:p>
      <w:pPr>
        <w:pStyle w:val="Heading3"/>
      </w:pPr>
      <w:r>
        <w:t>Encoder Model Development</w:t>
      </w:r>
    </w:p>
    <w:p>
      <w:r>
        <w:br/>
        <w:t>Purpose: The Encoder model refined latent features, generating high-quality representations for downstream training.</w:t>
        <w:br/>
        <w:t>Challenges: Dimension balancing and training speed optimization required careful adjustments.</w:t>
        <w:br/>
        <w:t>Outcomes: Encoder-generated features improved model accuracy when used in supervised classifiers, building the foundation for further training on latent data.</w:t>
        <w:br/>
      </w:r>
    </w:p>
    <w:p>
      <w:pPr>
        <w:pStyle w:val="Heading2"/>
      </w:pPr>
      <w:r>
        <w:t>Final Timeline</w:t>
      </w:r>
    </w:p>
    <w:p>
      <w:pPr>
        <w:pStyle w:val="Heading3"/>
      </w:pPr>
      <w:r>
        <w:t>October 17, 2024</w:t>
      </w:r>
    </w:p>
    <w:p>
      <w:r>
        <w:t>Agenda: Complete Data Exploration, implement PCA and t-SNE</w:t>
      </w:r>
    </w:p>
    <w:p>
      <w:r>
        <w:t>Action Items: Gain deeper understanding of PCA and t-SNE</w:t>
      </w:r>
    </w:p>
    <w:p>
      <w:pPr>
        <w:pStyle w:val="Heading3"/>
      </w:pPr>
      <w:r>
        <w:t>October 18, 2024</w:t>
      </w:r>
    </w:p>
    <w:p>
      <w:r>
        <w:t>Agenda: Review PCA and t-SNE outputs</w:t>
      </w:r>
    </w:p>
    <w:p>
      <w:r>
        <w:t>Action Items: Finalize t-SNE and compare with other results</w:t>
      </w:r>
    </w:p>
    <w:p>
      <w:pPr>
        <w:pStyle w:val="Heading3"/>
      </w:pPr>
      <w:r>
        <w:t>October 22, 2024</w:t>
      </w:r>
    </w:p>
    <w:p>
      <w:r>
        <w:t>Agenda: Begin work on Autoencoders</w:t>
      </w:r>
    </w:p>
    <w:p>
      <w:r>
        <w:t>Action Items: Basic understanding of Autoencoders</w:t>
      </w:r>
    </w:p>
    <w:p>
      <w:pPr>
        <w:pStyle w:val="Heading3"/>
      </w:pPr>
      <w:r>
        <w:t>October 23, 2024</w:t>
      </w:r>
    </w:p>
    <w:p>
      <w:r>
        <w:t>Agenda: Identify Autoencoder models for tabular data</w:t>
      </w:r>
    </w:p>
    <w:p>
      <w:r>
        <w:t>Action Items: Understand Autoencoders for feature extraction</w:t>
      </w:r>
    </w:p>
    <w:p>
      <w:pPr>
        <w:pStyle w:val="Heading3"/>
      </w:pPr>
      <w:r>
        <w:t>October 25, 2024</w:t>
      </w:r>
    </w:p>
    <w:p>
      <w:r>
        <w:t>Agenda: Learn Semi-Supervised Learning basics</w:t>
      </w:r>
    </w:p>
    <w:p>
      <w:r>
        <w:t>Action Items: Study SSL concepts</w:t>
      </w:r>
    </w:p>
    <w:p>
      <w:pPr>
        <w:pStyle w:val="Heading3"/>
      </w:pPr>
      <w:r>
        <w:t>October 28, 2024</w:t>
      </w:r>
    </w:p>
    <w:p>
      <w:r>
        <w:t>Agenda: Discuss entropy minimization and consistency regularization</w:t>
      </w:r>
    </w:p>
    <w:p>
      <w:r>
        <w:t>Action Items: Implement SSL techniques</w:t>
      </w:r>
    </w:p>
    <w:p>
      <w:pPr>
        <w:pStyle w:val="Heading3"/>
      </w:pPr>
      <w:r>
        <w:t>October 29, 2024</w:t>
      </w:r>
    </w:p>
    <w:p>
      <w:r>
        <w:t>Agenda: Review binary mask implementation</w:t>
      </w:r>
    </w:p>
    <w:p>
      <w:r>
        <w:t>Action Items: Evaluate binary mask outputs</w:t>
      </w:r>
    </w:p>
    <w:p>
      <w:pPr>
        <w:pStyle w:val="Heading3"/>
      </w:pPr>
      <w:r>
        <w:t>October 30, 2024</w:t>
      </w:r>
    </w:p>
    <w:p>
      <w:r>
        <w:t>Agenda: Data corruption methods</w:t>
      </w:r>
    </w:p>
    <w:p>
      <w:r>
        <w:t>Action Items: Evaluate corrupted data for training</w:t>
      </w:r>
    </w:p>
    <w:p>
      <w:pPr>
        <w:pStyle w:val="Heading3"/>
      </w:pPr>
      <w:r>
        <w:t>November 1, 2024</w:t>
      </w:r>
    </w:p>
    <w:p>
      <w:r>
        <w:t>Agenda: Data splitting and train-test setup</w:t>
      </w:r>
    </w:p>
    <w:p>
      <w:r>
        <w:t>Action Items: Complete model preparation</w:t>
      </w:r>
    </w:p>
    <w:p>
      <w:pPr>
        <w:pStyle w:val="Heading3"/>
      </w:pPr>
      <w:r>
        <w:t>November 5, 2024</w:t>
      </w:r>
    </w:p>
    <w:p>
      <w:r>
        <w:t>Agenda: Implement Logistic Regression</w:t>
      </w:r>
    </w:p>
    <w:p>
      <w:r>
        <w:t>Action Items: Finalize model parameters</w:t>
      </w:r>
    </w:p>
    <w:p>
      <w:pPr>
        <w:pStyle w:val="Heading3"/>
      </w:pPr>
      <w:r>
        <w:t>November 7, 2024</w:t>
      </w:r>
    </w:p>
    <w:p>
      <w:r>
        <w:t>Agenda: Develop Encoder model</w:t>
      </w:r>
    </w:p>
    <w:p>
      <w:r>
        <w:t>Action Items: Initiate latent feature training</w:t>
      </w:r>
    </w:p>
    <w:p>
      <w:pPr>
        <w:pStyle w:val="Heading3"/>
      </w:pPr>
      <w:r>
        <w:t>November 8, 2024</w:t>
      </w:r>
    </w:p>
    <w:p>
      <w:r>
        <w:t>Agenda: Train on Logistic Regression and XGBoost</w:t>
      </w:r>
    </w:p>
    <w:p>
      <w:r>
        <w:t>Action Items: Troubleshoot Encoder-based training</w:t>
      </w:r>
    </w:p>
    <w:p>
      <w:pPr>
        <w:pStyle w:val="Heading3"/>
      </w:pPr>
      <w:r>
        <w:t>November 12, 2024</w:t>
      </w:r>
    </w:p>
    <w:p>
      <w:r>
        <w:t>Agenda: Begin Semi-Supervised Learning model</w:t>
      </w:r>
    </w:p>
    <w:p>
      <w:r>
        <w:t>Action Items: Implement SSL on encoded data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