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0F3D2E"/>
          <w:sz w:val="40"/>
          <w:szCs w:val="40"/>
        </w:rPr>
        <w:t xml:space="preserve">Multiphysics 3D Boiling Simulation for Household Cookware</w:t>
      </w:r>
    </w:p>
    <w:p>
      <w:pPr>
        <w:spacing w:after="80"/>
        <w:jc w:val="center"/>
      </w:pPr>
      <w:r>
        <w:rPr>
          <w:i/>
          <w:iCs/>
          <w:color w:val="555555"/>
          <w:sz w:val="26"/>
          <w:szCs w:val="26"/>
        </w:rPr>
        <w:t xml:space="preserve">A Phased Development Plan for Coupled Thermal, Fluid, and Nutrient Retention Modeling</w:t>
      </w:r>
    </w:p>
    <w:p>
      <w:pPr>
        <w:spacing w:after="80"/>
        <w:jc w:val="center"/>
      </w:pPr>
      <w:r>
        <w:rPr>
          <w:color w:val="777777"/>
          <w:sz w:val="22"/>
          <w:szCs w:val="22"/>
        </w:rPr>
        <w:t xml:space="preserve">Carrot Case Study with NVIDIA Warp, CUDA, and Rust</w:t>
      </w:r>
    </w:p>
    <w:p>
      <w:pPr>
        <w:spacing w:after="120"/>
        <w:jc w:val="center"/>
      </w:pPr>
      <w:r>
        <w:rPr>
          <w:color w:val="999999"/>
          <w:sz w:val="20"/>
          <w:szCs w:val="20"/>
        </w:rPr>
        <w:t xml:space="preserve">Prepared for Emmanuel A. Kwofie, SASEL Lab, McGill University</w:t>
      </w:r>
    </w:p>
    <w:p>
      <w:pPr>
        <w:spacing w:after="480"/>
        <w:jc w:val="center"/>
      </w:pPr>
      <w:r>
        <w:rPr>
          <w:i/>
          <w:iCs/>
          <w:color w:val="999999"/>
          <w:sz w:val="18"/>
          <w:szCs w:val="18"/>
        </w:rPr>
        <w:t xml:space="preserve">Revised for the Lambda Vector workstation (RTX 6000 Ada, Threadripper PRO 7975WX)</w:t>
      </w:r>
    </w:p>
    <w:p>
      <w:pPr>
        <w:pStyle w:val="Heading1"/>
        <w:spacing w:after="180" w:before="360"/>
      </w:pPr>
      <w:r>
        <w:t xml:space="preserve">1. Executive Summary</w:t>
      </w:r>
    </w:p>
    <w:p>
      <w:pPr>
        <w:spacing w:after="180" w:line="320"/>
        <w:jc w:val="both"/>
      </w:pPr>
      <w:r>
        <w:t xml:space="preserve">This plan describes the phased development of a GPU accelerated multiphysics simulation that models boiling water inside a household pot, the conjugate heat transfer through the cookware wall, and the coupled nutrient degradation inside a carrot submerged in the boiling medium. The outcome is a live 3D dashboard that visualizes the fluid motion, vapor generation, temperature fields, and beta-carotene retention in real time, with parametric controls for cookware material, heat flux, water volume, and food geometry.</w:t>
      </w:r>
    </w:p>
    <w:p>
      <w:pPr>
        <w:spacing w:after="180" w:line="320"/>
        <w:jc w:val="both"/>
      </w:pPr>
      <w:r>
        <w:t xml:space="preserve">The numerical core is built on NVIDIA Warp for GPU native physics and on hand written CUDA kernels exposed through Rust for the innermost performance critical routines. The visualization layer uses a web based Three.js and React Three Fiber front end that subscribes to a WebSocket stream from the simulation backend. The architecture is modular so that each physics component can be validated independently before coupling, and the deliverable at each phase is a working, testable milestone.</w:t>
      </w:r>
    </w:p>
    <w:p>
      <w:pPr>
        <w:spacing w:after="180" w:line="320"/>
        <w:jc w:val="both"/>
      </w:pPr>
      <w:r>
        <w:t xml:space="preserve">The overall effort is scoped for a single researcher with support from a small development team, and is designed to run on the Lambda Vector workstation described below. The 48 GB of VRAM on the RTX 6000 Ada and 256 GB of system RAM allow every phase to run at research publication resolution without compromise. The plan builds directly on the SASEL Lab tradition of geometry aware, GPU native food process digital twins, extending the framework used for radiofrequency peas and carrot beta-carotene to a full three dimensional boiling environment.</w:t>
      </w:r>
    </w:p>
    <w:p>
      <w:pPr>
        <w:pStyle w:val="Heading1"/>
        <w:spacing w:after="180" w:before="360"/>
      </w:pPr>
      <w:r>
        <w:t xml:space="preserve">2. Target Hardware and Platform</w:t>
      </w:r>
    </w:p>
    <w:p>
      <w:pPr>
        <w:spacing w:after="180" w:line="320"/>
        <w:jc w:val="both"/>
      </w:pPr>
      <w:r>
        <w:t xml:space="preserve">The development workstation is a Lambda Vector, a purpose built AI and scientific computing machine. The upgrade from the previous system is substantial across every axis that matters for this project. The RTX 6000 Ada Generation provides 48 GB of GDDR6 VRAM with ECC, which is double the memory of the RTX 4090 while sharing the same Ada Lovelace architecture and sm_89 compute capability. This means every kernel written against the 4090 compiles and runs unchanged, while the doubled VRAM unlocks much larger grids, longer particle histories, and simultaneous multi resolution checkpoints for differentiable rollouts.</w:t>
      </w:r>
    </w:p>
    <w:p>
      <w:pPr>
        <w:spacing w:after="180" w:line="320"/>
        <w:jc w:val="both"/>
      </w:pPr>
      <w:r>
        <w:t xml:space="preserve">The AMD Threadripper PRO 7975WX brings 32 physical cores and 64 logical threads, which is twice the thread count of the previous CPU. The simulation pipeline uses the CPU for mesh preparation, USD I/O, configuration validation, and Rust orchestration, and at 64 threads the host side work never throttles the GPU. The 256 GB of system RAM, four times the previous capacity, opens the door to an out of core streaming pattern in which the full time series of every field is kept resident in pinned host memory. This mirrors the approach Autodesk used on the GH200 for XLB and eliminates the need to round trip data through disk during long simulation sweeps.</w:t>
      </w:r>
    </w:p>
    <w:p>
      <w:pPr>
        <w:spacing w:after="180" w:line="320"/>
        <w:jc w:val="both"/>
      </w:pPr>
      <w:r>
        <w:t xml:space="preserve">The operating system is Windows 11 Pro 25H2. For this project I recommend installing WSL2 with Ubuntu 24.04 as the primary development environment, because the NVIDIA Warp ecosystem, the Rust plus CUDA toolchain, and every published reference build in this domain target Linux first. WSL2 on Windows 11 now supports full CUDA passthrough, USD native applications, and GUI forwarding, and the performance penalty versus native Linux is negligible for CUDA workloads. A Windows native fallback path is documented in the developer guide for the visualization layer, which can run outside WSL when convenient.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Component</w:t>
            </w:r>
          </w:p>
        </w:tc>
        <w:tc>
          <w:tcPr>
            <w:tcW w:type="dxa" w:w="624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Specification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Machine</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Lambda Vector workstation (DESKTOP-U3DE0JG)</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Operating System</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Windows 11 Pro 25H2 (build 26200), with WSL2 Ubuntu 24.04 recommended</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CPU</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AMD Ryzen Threadripper PRO 7975WX, 32 cores and 64 threads at 4.00 GHz</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Memory</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256 GB system RAM, DDR5 at 4800 MT/s</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GPU</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NVIDIA RTX 6000 Ada Generation, 48 GB GDDR6 ECC, 18176 CUDA cores, sm_89</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Storage</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1.82 TB local disk (795 GB used)</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System Type</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64-bit, x64 processor</w:t>
            </w:r>
          </w:p>
        </w:tc>
      </w:tr>
    </w:tbl>
    <w:p>
      <w:pPr>
        <w:spacing w:after="160" w:line="300"/>
        <w:jc w:val="left"/>
      </w:pPr>
      <w:r>
        <w:rPr>
          <w:sz w:val="12"/>
          <w:szCs w:val="12"/>
        </w:rPr>
        <w:t xml:space="preserve"/>
      </w:r>
    </w:p>
    <w:p>
      <w:pPr>
        <w:spacing w:after="180" w:line="320"/>
        <w:jc w:val="both"/>
      </w:pPr>
      <w:r>
        <w:t xml:space="preserve">With 48 GB of VRAM the baseline grid resolution moves from 200 x 200 x 120 to 400 x 400 x 240, which means the pot interior is now resolved at 0.5 to 1 millimetre instead of 2 millimetres. Bubble particle budgets increase from 100 thousand to 500 thousand to 1 million without concern. The carrot tetrahedral mesh can move from roughly 40 thousand elements to 200 thousand, which is enough to resolve the concentration gradient across a 2.5 centimetre carrot at sub millimetre fidelity. The practical effect is that the validation against the 84 percent SASEL experimental retention is no longer resolution limited, and sensitivity sweeps that previously took a full day can be completed overnight.</w:t>
      </w:r>
    </w:p>
    <w:p>
      <w:pPr>
        <w:pStyle w:val="Heading1"/>
        <w:spacing w:after="180" w:before="360"/>
      </w:pPr>
      <w:r>
        <w:t xml:space="preserve">3. Technology Rationale</w:t>
      </w:r>
    </w:p>
    <w:p>
      <w:pPr>
        <w:pStyle w:val="Heading2"/>
        <w:spacing w:after="140" w:before="280"/>
      </w:pPr>
      <w:r>
        <w:t xml:space="preserve">3.1 Why NVIDIA Warp as the Simulation Core</w:t>
      </w:r>
    </w:p>
    <w:p>
      <w:pPr>
        <w:spacing w:after="180" w:line="320"/>
        <w:jc w:val="both"/>
      </w:pPr>
      <w:r>
        <w:t xml:space="preserve">NVIDIA Warp is a Python framework that JIT compiles Python functions into CUDA kernels, and it is explicitly designed for writing custom physics solvers rather than consuming pre packaged ones. It includes built in support for sparse grids using the NanoVDB standard, hash grids for particle neighbor queries, triangle mesh queries for collision against complex geometry, and a finite element module with BSR sparse linear algebra and preconditioned iterative solvers. Taken together these primitives cover the needs of every physics component in this project without forcing us to leave the GPU.</w:t>
      </w:r>
    </w:p>
    <w:p>
      <w:pPr>
        <w:spacing w:after="180" w:line="320"/>
        <w:jc w:val="both"/>
      </w:pPr>
      <w:r>
        <w:t xml:space="preserve">The framework's value for multiphysics is precisely that it allows intuitive coupling of multiple physics in a single GPU resident loop. Autodesk Research used Warp to build XLB, a lattice Boltzmann CFD solver that reaches roughly 95 percent of the performance of the highly optimized OpenCL FluidX3D code. Google DeepMind's MuJoCo Warp achieves speedups of up to 252 times for locomotion and 475 times for manipulation over JAX on comparable hardware. These benchmarks show that a Python expressed Warp kernel is not a performance compromise but a working production path for research scale simulation.</w:t>
      </w:r>
    </w:p>
    <w:p>
      <w:pPr>
        <w:spacing w:after="180" w:line="320"/>
        <w:jc w:val="both"/>
      </w:pPr>
      <w:r>
        <w:t xml:space="preserve">For this project the decisive factor is auto differentiability. Warp kernels are differentiable through the PyTorch and JAX interfaces, so the same simulation we use for forward prediction can later be inverted for parameter estimation, sensitivity analysis, or AI driven surrogate model training. This aligns directly with the FSFI and digital twin research trajectory at SASEL.</w:t>
      </w:r>
    </w:p>
    <w:p>
      <w:pPr>
        <w:pStyle w:val="Heading2"/>
        <w:spacing w:after="140" w:before="280"/>
      </w:pPr>
      <w:r>
        <w:t xml:space="preserve">3.2 Why Rust and Hand Written CUDA for the Innermost Loops</w:t>
      </w:r>
    </w:p>
    <w:p>
      <w:pPr>
        <w:spacing w:after="180" w:line="320"/>
        <w:jc w:val="both"/>
      </w:pPr>
      <w:r>
        <w:t xml:space="preserve">Warp handles the bulk of the physics efficiently. A small number of innermost kernels, particularly the collision detection between water particles and the cookware surface, the neighbor search for the boiling bubble nucleation sites, and the reaction diffusion update inside the carrot, benefit from hand tuned CUDA implementations where register level control matters. For these we will write .cu files, compile them with nvcc into a shared library, and invoke them from a Rust orchestration layer using the cudarc and libloading crates. This approach, documented in the stochastic-rs project and adopted by the ppf-contact-solver, delivers C++ level performance while preserving Rust's memory safety and concurrency guarantees at the orchestration boundary.</w:t>
      </w:r>
    </w:p>
    <w:p>
      <w:pPr>
        <w:spacing w:after="180" w:line="320"/>
        <w:jc w:val="both"/>
      </w:pPr>
      <w:r>
        <w:t xml:space="preserve">The Rust layer serves three concrete purposes. It owns the simulation session, including parameter sets, time step history, and checkpoint files. It drives the WebSocket server that pushes fields to the dashboard. And it acts as the broker between Warp on the Python side and the custom CUDA kernels on the device side, using PyO3 to expose the Rust API to Python and using PTX module loading to launch our custom kernels on the same CUDA context that Warp uses. This avoids redundant device memory copies and keeps the data resident on the GPU across every stage of the pipeline.</w:t>
      </w:r>
    </w:p>
    <w:p>
      <w:pPr>
        <w:pStyle w:val="Heading2"/>
        <w:spacing w:after="140" w:before="280"/>
      </w:pPr>
      <w:r>
        <w:t xml:space="preserve">3.3 Why a Web Based 3D Dashboard</w:t>
      </w:r>
    </w:p>
    <w:p>
      <w:pPr>
        <w:spacing w:after="180" w:line="320"/>
        <w:jc w:val="both"/>
      </w:pPr>
      <w:r>
        <w:t xml:space="preserve">Three options were considered for the visualization layer. NVIDIA Omniverse with Kit App Streaming offers the richest rendering and native USD support, with WebRTC streaming to a browser. It is the right answer for a production digital twin and is our long term target, but it adds meaningful deployment complexity. A Python native tool such as PyVista or Polyscope is fast to prototype but does not meet the brief for a live shared dashboard. A custom Three.js and React Three Fiber front end, backed by a FastAPI and Rust WebSocket service, offers the best balance for a research deliverable. It renders at 60 frames per second on a modern browser, supports live WebSocket data, and allows the same dashboard to run locally during development and be deployed to a public URL for collaborators and sponsors with no GPU on their side.</w:t>
      </w:r>
    </w:p>
    <w:p>
      <w:pPr>
        <w:spacing w:after="180" w:line="320"/>
        <w:jc w:val="both"/>
      </w:pPr>
      <w:r>
        <w:t xml:space="preserve">The plan therefore uses Three.js in the first four phases for rapid iteration, and reserves an optional Omniverse Kit migration for Phase Seven once the science is validated. The data contract between the solver and the dashboard is designed from day one to be renderer agnostic, so this migration is additive rather than a rewrite.</w:t>
      </w:r>
    </w:p>
    <w:p>
      <w:pPr>
        <w:pStyle w:val="Heading1"/>
        <w:spacing w:after="180" w:before="360"/>
      </w:pPr>
      <w:r>
        <w:t xml:space="preserve">4. System Architecture</w:t>
      </w:r>
    </w:p>
    <w:p>
      <w:pPr>
        <w:spacing w:after="180" w:line="320"/>
        <w:jc w:val="both"/>
      </w:pPr>
      <w:r>
        <w:t xml:space="preserve">The system is organized as five cooperating layers. The geometry and meshing layer generates the cookware, the water domain, and the carrot from parametric descriptions and signed distance fields. The physics kernel layer, implemented in Warp with custom CUDA extensions, owns all field updates. The coupling and orchestration layer, written in Rust, drives the time stepping loop, manages checkpoints, and exposes the simulation state. The streaming layer, also in Rust, serializes compressed snapshots to WebSocket clients. The presentation layer, in TypeScript and React, renders the scene, plots the retention curves, and exposes the parameter controls.</w:t>
      </w:r>
    </w:p>
    <w:p>
      <w:pPr>
        <w:spacing w:after="180" w:line="320"/>
        <w:jc w:val="both"/>
      </w:pPr>
      <w:r>
        <w:t xml:space="preserve">All layers share a single CUDA context on the RTX 4090 so that no data copies occur between the Warp Python kernels and the custom CUDA kernels. Output snapshots are staged in pinned host memory and streamed asynchronously, decoupling the render cadence from the physics step frequency.</w:t>
      </w:r>
    </w:p>
    <w:p>
      <w:pPr>
        <w:pStyle w:val="Heading1"/>
        <w:spacing w:after="180" w:before="360"/>
      </w:pPr>
      <w:r>
        <w:t xml:space="preserve">5. Scientific Model</w:t>
      </w:r>
    </w:p>
    <w:p>
      <w:pPr>
        <w:pStyle w:val="Heading2"/>
        <w:spacing w:after="140" w:before="280"/>
      </w:pPr>
      <w:r>
        <w:t xml:space="preserve">5.1 Governing Equations</w:t>
      </w:r>
    </w:p>
    <w:p>
      <w:pPr>
        <w:spacing w:after="180" w:line="320"/>
        <w:jc w:val="both"/>
      </w:pPr>
      <w:r>
        <w:t xml:space="preserve">The fluid domain is governed by the incompressible Navier Stokes equations with a temperature dependent density through the Boussinesq approximation for natural convection before nucleation begins. The phase change from liquid to vapor is treated with a volume of fluid interface capturing method inspired by the Basilisk framework, adapted for structured GPU grids. The Stefan condition at the liquid vapor interface provides the mass source term for vapor generation.</w:t>
      </w:r>
    </w:p>
    <w:p>
      <w:pPr>
        <w:spacing w:after="180" w:line="320"/>
        <w:jc w:val="both"/>
      </w:pPr>
      <w:r>
        <w:t xml:space="preserve">Inside the cookware wall we solve the three dimensional heat equation with temperature dependent thermal conductivity and specific heat, and we apply a Dirichlet or heat flux boundary condition at the stove contact surface. The fluid solid interface enforces both Dirichlet continuity of temperature and Neumann continuity of heat flux, which is the classical conjugate heat transfer formulation. Inside the carrot we solve a coupled thermal diffusion and reaction diffusion system. The beta-carotene concentration follows first order Arrhenius kinetics, with an activation energy in the range of 66 to 79 kilojoules per mole and a pre exponential factor calibrated from published carrot processing data. The diffusion term captures the redistribution of water soluble nutrients toward the leached surface.</w:t>
      </w:r>
    </w:p>
    <w:p>
      <w:pPr>
        <w:pStyle w:val="Heading2"/>
        <w:spacing w:after="140" w:before="280"/>
      </w:pPr>
      <w:r>
        <w:t xml:space="preserve">5.2 Nucleate Boiling Sub Model</w:t>
      </w:r>
    </w:p>
    <w:p>
      <w:pPr>
        <w:spacing w:after="180" w:line="320"/>
        <w:jc w:val="both"/>
      </w:pPr>
      <w:r>
        <w:t xml:space="preserve">Resolving every microlayer directly is beyond the scope of a household cookware simulation and would require hundreds of thousands of CPU hours per bubble cycle even on AMR codes like Basilisk. We instead adopt a hybrid approach inspired by the Rensselaer Polytechnic Institute boiling model used in ANSYS Fluent. Active nucleation site density, bubble departure diameter, and bubble departure frequency are supplied as correlations tied to the local wall superheat. Bubbles are spawned as Lagrangian particles at the inner pot surface, grow according to a Rayleigh Plesset evolution, detach when the buoyancy force exceeds surface tension, and rise through the liquid while transferring heat and momentum to the surrounding volume of fluid field. This is tractable on a single RTX 4090 and retains the qualitative features of the boiling regime without demanding an unaffordable grid.</w:t>
      </w:r>
    </w:p>
    <w:p>
      <w:pPr>
        <w:pStyle w:val="Heading2"/>
        <w:spacing w:after="140" w:before="280"/>
      </w:pPr>
      <w:r>
        <w:t xml:space="preserve">5.3 Carrot Nutrient Model</w:t>
      </w:r>
    </w:p>
    <w:p>
      <w:pPr>
        <w:spacing w:after="180" w:line="320"/>
        <w:jc w:val="both"/>
      </w:pPr>
      <w:r>
        <w:t xml:space="preserve">The carrot is meshed as a cylindrical domain with a deformable tetrahedral interior. The beta-carotene concentration field evolves under the reaction diffusion equation with an Arrhenius temperature dependent rate constant. Leaching at the carrot surface is driven by the local liquid velocity and the partition coefficient between the food matrix and the water phase. The coupled output is the spatial concentration gradient at each timestep, from which we compute the integrated retention percentage that matches the existing SASEL B-carotene validation work, including the eighty to ninety percent model prediction and the eighty four percent experimental reference.</w:t>
      </w:r>
    </w:p>
    <w:p>
      <w:pPr>
        <w:pStyle w:val="Heading1"/>
        <w:spacing w:after="180" w:before="360"/>
      </w:pPr>
      <w:r>
        <w:t xml:space="preserve">6. Development Phases</w:t>
      </w:r>
    </w:p>
    <w:p>
      <w:pPr>
        <w:spacing w:after="180" w:line="320"/>
        <w:jc w:val="both"/>
      </w:pPr>
      <w:r>
        <w:t xml:space="preserve">The plan is decomposed into seven phases covering approximately thirty two to thirty six weeks of focused development, with a further optional Phase Seven for Omniverse migration. Each phase delivers a working milestone that can be demonstrated, tested, and checkpointed independently. The phases are sequential for the first three, after which visualization and coupling work can proceed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2160"/>
      </w:tblGrid>
      <w:tr>
        <w:trPr>
          <w:tblHeader/>
        </w:trPr>
        <w:tc>
          <w:tcPr>
            <w:tcW w:type="dxa" w:w="120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Phase</w:t>
            </w:r>
          </w:p>
        </w:tc>
        <w:tc>
          <w:tcPr>
            <w:tcW w:type="dxa" w:w="420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Focus</w:t>
            </w:r>
          </w:p>
        </w:tc>
        <w:tc>
          <w:tcPr>
            <w:tcW w:type="dxa" w:w="180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Duration</w:t>
            </w:r>
          </w:p>
        </w:tc>
        <w:tc>
          <w:tcPr>
            <w:tcW w:type="dxa" w:w="2160"/>
            <w:tcBorders>
              <w:top w:val="single" w:color="B0B0B0" w:sz="4"/>
              <w:left w:val="single" w:color="B0B0B0" w:sz="4"/>
              <w:bottom w:val="single" w:color="B0B0B0" w:sz="4"/>
              <w:right w:val="single" w:color="B0B0B0" w:sz="4"/>
            </w:tcBorders>
            <w:shd w:fill="0F3D2E" w:val="clear"/>
            <w:tcMar>
              <w:top w:type="dxa" w:w="100"/>
              <w:left w:type="dxa" w:w="140"/>
              <w:bottom w:type="dxa" w:w="100"/>
              <w:right w:type="dxa" w:w="140"/>
            </w:tcMar>
          </w:tcPr>
          <w:p>
            <w:pPr>
              <w:jc w:val="left"/>
            </w:pPr>
            <w:r>
              <w:rPr>
                <w:b/>
                <w:bCs/>
                <w:color w:val="FFFFFF"/>
                <w:sz w:val="22"/>
                <w:szCs w:val="22"/>
              </w:rPr>
              <w:t xml:space="preserve">Deliverable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0</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Environment, toolchain, baseline benchmarks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2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Verified stack and baseline kernels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1</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Geometry, cookware mesh, water domain setup</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3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Parametric USD scene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2</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Single phase CFD and conjugate heat transfer</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5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Validated pre-boiling heating run</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3</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Boiling sub model and vapor generation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6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Full boiling simulation</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4</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Carrot model and nutrient coupling</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4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Retention curves versus experiment</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5</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Rust and custom CUDA acceleration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4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Measured speedup and hardened core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6</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Live 3D dashboard and parametric controls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5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Web deployable interactive demo</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7</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Optional Omniverse Kit migration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3-4 weeks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USD native streaming app</w:t>
            </w:r>
          </w:p>
        </w:tc>
      </w:tr>
    </w:tbl>
    <w:p>
      <w:pPr>
        <w:spacing w:after="160" w:line="300"/>
        <w:jc w:val="left"/>
      </w:pPr>
      <w:r>
        <w:rPr>
          <w:sz w:val="12"/>
          <w:szCs w:val="12"/>
        </w:rPr>
        <w:t xml:space="preserve"/>
      </w:r>
    </w:p>
    <w:p>
      <w:pPr>
        <w:pStyle w:val="Heading2"/>
        <w:spacing w:after="140" w:before="280"/>
      </w:pPr>
      <w:r>
        <w:t xml:space="preserve">Phase 0. Environment, Toolchain, and Baseline Benchmarks</w:t>
      </w:r>
    </w:p>
    <w:p>
      <w:pPr>
        <w:spacing w:after="160" w:line="300"/>
        <w:jc w:val="left"/>
      </w:pPr>
      <w:r>
        <w:rPr>
          <w:i/>
          <w:iCs/>
        </w:rPr>
        <w:t xml:space="preserve">Duration: two weeks. Goal: have every piece of software installed, the GPU driver stack verified, and baseline kernel throughput measured so that later gains are quantified against a real starting point.</w:t>
      </w:r>
    </w:p>
    <w:p>
      <w:pPr>
        <w:pStyle w:val="Heading3"/>
        <w:spacing w:after="120" w:before="220"/>
      </w:pPr>
      <w:r>
        <w:t xml:space="preserve">Scope</w:t>
      </w:r>
    </w:p>
    <w:p>
      <w:pPr>
        <w:spacing w:after="180" w:line="320"/>
        <w:jc w:val="both"/>
      </w:pPr>
      <w:r>
        <w:t xml:space="preserve">Install the NVIDIA RTX Enterprise driver for the RTX 6000 Ada on Windows 11, then enable WSL2 and install Ubuntu 24.04 from the Microsoft Store. Inside WSL2 install CUDA Toolkit 12.6 or later using NVIDIA's WSL specific package, and confirm that nvidia-smi inside WSL reports the RTX 6000 Ada with 48 GB. Install Warp from the NVIDIA Accelerated Computing Hub wheels, with the examples extra so the SPH, APIC fluid, and FEM diffusion examples run out of the box. Set up a Python 3.11 environment using uv. Install the Rust toolchain through rustup with the stable channel, add the cudarc, libloading, and pyo3 crates to a scratch workspace, and verify that a minimal Rust program can launch a CUDA kernel through a PTX file generated from a Warp kernel export. Install Node.js 20 and pnpm for the front end work, either inside WSL for unified development or natively on Windows if the team prefers running the dashboard from a separate shell.</w:t>
      </w:r>
    </w:p>
    <w:p>
      <w:pPr>
        <w:pStyle w:val="Heading3"/>
        <w:spacing w:after="120" w:before="220"/>
      </w:pPr>
      <w:r>
        <w:t xml:space="preserve">Deliverables</w:t>
      </w:r>
    </w:p>
    <w:p>
      <w:pPr>
        <w:pStyle w:val="ListParagraph"/>
        <w:numPr>
          <w:ilvl w:val="0"/>
          <w:numId w:val="2"/>
        </w:numPr>
        <w:spacing w:after="80" w:line="300"/>
      </w:pPr>
      <w:r>
        <w:t xml:space="preserve">A devcontainer or Docker file capturing the exact environment inside WSL2, committed to the project repository so that the setup is reproducible on any CUDA capable machine.</w:t>
      </w:r>
    </w:p>
    <w:p>
      <w:pPr>
        <w:pStyle w:val="ListParagraph"/>
        <w:numPr>
          <w:ilvl w:val="0"/>
          <w:numId w:val="2"/>
        </w:numPr>
        <w:spacing w:after="80" w:line="300"/>
      </w:pPr>
      <w:r>
        <w:t xml:space="preserve">A benchmark report measuring achieved throughput for the Warp SPH example, the warp.fem diffusion example, and a vanilla CUDA vector-add kernel launched from Rust, all on the RTX 6000 Ada, captured inside WSL2.</w:t>
      </w:r>
    </w:p>
    <w:p>
      <w:pPr>
        <w:pStyle w:val="ListParagraph"/>
        <w:numPr>
          <w:ilvl w:val="0"/>
          <w:numId w:val="2"/>
        </w:numPr>
        <w:spacing w:after="80" w:line="300"/>
      </w:pPr>
      <w:r>
        <w:t xml:space="preserve">A written test plan describing acceptance criteria for each later phase.</w:t>
      </w:r>
    </w:p>
    <w:p>
      <w:pPr>
        <w:pStyle w:val="Heading3"/>
        <w:spacing w:after="120" w:before="220"/>
      </w:pPr>
      <w:r>
        <w:t xml:space="preserve">Risks and Mitigations</w:t>
      </w:r>
    </w:p>
    <w:p>
      <w:pPr>
        <w:spacing w:after="180" w:line="320"/>
        <w:jc w:val="both"/>
      </w:pPr>
      <w:r>
        <w:t xml:space="preserve">The most common failure at this stage is a driver and CUDA toolkit version mismatch between the Windows host and WSL2. Install the NVIDIA driver only on the Windows host, not inside WSL, and install the CUDA toolkit only inside WSL. The driver is exposed to WSL automatically through the CUDA WSL driver interface, and duplicate installations are the single biggest source of pain. Test early on a clean WSL container to verify that the setup is reproducible.</w:t>
      </w:r>
    </w:p>
    <w:p>
      <w:pPr>
        <w:pStyle w:val="Heading2"/>
        <w:spacing w:after="140" w:before="280"/>
      </w:pPr>
      <w:r>
        <w:t xml:space="preserve">Phase 1. Geometry, Cookware Model, and Water Domain</w:t>
      </w:r>
    </w:p>
    <w:p>
      <w:pPr>
        <w:spacing w:after="160" w:line="300"/>
        <w:jc w:val="left"/>
      </w:pPr>
      <w:r>
        <w:rPr>
          <w:i/>
          <w:iCs/>
        </w:rPr>
        <w:t xml:space="preserve">Duration: three weeks. Goal: a parametric scene containing a realistic cookware pot, the water domain it contains, and a carrot object, all expressed in OpenUSD and queryable from Warp.</w:t>
      </w:r>
    </w:p>
    <w:p>
      <w:pPr>
        <w:pStyle w:val="Heading3"/>
        <w:spacing w:after="120" w:before="220"/>
      </w:pPr>
      <w:r>
        <w:t xml:space="preserve">Scope</w:t>
      </w:r>
    </w:p>
    <w:p>
      <w:pPr>
        <w:spacing w:after="180" w:line="320"/>
        <w:jc w:val="both"/>
      </w:pPr>
      <w:r>
        <w:t xml:space="preserve">Build a parametric pot model using Open Cascade or Blender Python, exported to USD. The pot has adjustable diameter, wall thickness, material, and base thickness. Implement material property lookup tables for stainless steel 304, cast iron, aluminum, and copper covering density, specific heat, and thermal conductivity as functions of temperature. Create the water domain as a signed distance field on a structured grid sized for the pot interior. With 48 GB of VRAM available, target a production resolution of 400 by 400 by 240 cells at 0.5 millimetre spacing, which keeps every field under 10 GB and leaves comfortable headroom for the bubble particle pool, the carrot FE system, and checkpoint copies for differentiable rollouts.</w:t>
      </w:r>
    </w:p>
    <w:p>
      <w:pPr>
        <w:spacing w:after="180" w:line="320"/>
        <w:jc w:val="both"/>
      </w:pPr>
      <w:r>
        <w:t xml:space="preserve">The carrot is modeled as a cylindrical domain with a tetrahedral interior mesh suitable for the reaction diffusion solver. Its location in the pot is controlled by a position parameter. The cookware surface, the water free surface, and the carrot surface are all exposed to Warp as triangle meshes that support the closest point and ray cast queries needed by the collision and boundary logic.</w:t>
      </w:r>
    </w:p>
    <w:p>
      <w:pPr>
        <w:pStyle w:val="Heading3"/>
        <w:spacing w:after="120" w:before="220"/>
      </w:pPr>
      <w:r>
        <w:t xml:space="preserve">Deliverables</w:t>
      </w:r>
    </w:p>
    <w:p>
      <w:pPr>
        <w:pStyle w:val="ListParagraph"/>
        <w:numPr>
          <w:ilvl w:val="0"/>
          <w:numId w:val="2"/>
        </w:numPr>
        <w:spacing w:after="80" w:line="300"/>
      </w:pPr>
      <w:r>
        <w:t xml:space="preserve">A Python module that takes a configuration dictionary and produces the full USD scene with cookware, water, and carrot.</w:t>
      </w:r>
    </w:p>
    <w:p>
      <w:pPr>
        <w:pStyle w:val="ListParagraph"/>
        <w:numPr>
          <w:ilvl w:val="0"/>
          <w:numId w:val="2"/>
        </w:numPr>
        <w:spacing w:after="80" w:line="300"/>
      </w:pPr>
      <w:r>
        <w:t xml:space="preserve">A material properties library with values sourced from published literature, stored as JSON and loaded by the solver.</w:t>
      </w:r>
    </w:p>
    <w:p>
      <w:pPr>
        <w:pStyle w:val="ListParagraph"/>
        <w:numPr>
          <w:ilvl w:val="0"/>
          <w:numId w:val="2"/>
        </w:numPr>
        <w:spacing w:after="80" w:line="300"/>
      </w:pPr>
      <w:r>
        <w:t xml:space="preserve">Visual verification in USD Composer or PyVista that the geometry is correct.</w:t>
      </w:r>
    </w:p>
    <w:p>
      <w:pPr>
        <w:pStyle w:val="Heading2"/>
        <w:spacing w:after="140" w:before="280"/>
      </w:pPr>
      <w:r>
        <w:t xml:space="preserve">Phase 2. Single Phase CFD and Conjugate Heat Transfer</w:t>
      </w:r>
    </w:p>
    <w:p>
      <w:pPr>
        <w:spacing w:after="160" w:line="300"/>
        <w:jc w:val="left"/>
      </w:pPr>
      <w:r>
        <w:rPr>
          <w:i/>
          <w:iCs/>
        </w:rPr>
        <w:t xml:space="preserve">Duration: five weeks. Goal: heat a pot of water from the stove up to ninety-five degrees without boiling, validated against an analytical or experimental reference.</w:t>
      </w:r>
    </w:p>
    <w:p>
      <w:pPr>
        <w:pStyle w:val="Heading3"/>
        <w:spacing w:after="120" w:before="220"/>
      </w:pPr>
      <w:r>
        <w:t xml:space="preserve">Scope</w:t>
      </w:r>
    </w:p>
    <w:p>
      <w:pPr>
        <w:spacing w:after="180" w:line="320"/>
        <w:jc w:val="both"/>
      </w:pPr>
      <w:r>
        <w:t xml:space="preserve">Implement the incompressible Navier Stokes solver in Warp using a projection method on a staggered Cartesian grid for the water domain. Couple this to a three dimensional heat equation solver that spans both the water and the pot wall, treating the contact interface with the classical conjugate heat transfer boundary conditions of matching temperature and matching normal heat flux. Use the Boussinesq approximation to drive natural convection cells in the water as the bottom heats.</w:t>
      </w:r>
    </w:p>
    <w:p>
      <w:pPr>
        <w:spacing w:after="180" w:line="320"/>
        <w:jc w:val="both"/>
      </w:pPr>
      <w:r>
        <w:t xml:space="preserve">Apply a constant heat flux of 1000 to 2000 watts at the pot base to represent a typical induction burner. Run the simulation from an initial uniform temperature of twenty degrees until the water reaches ninety-five degrees on average, and record the time history of the average water temperature, the maximum wall temperature, and the heat flux through the wall.</w:t>
      </w:r>
    </w:p>
    <w:p>
      <w:pPr>
        <w:pStyle w:val="Heading3"/>
        <w:spacing w:after="120" w:before="220"/>
      </w:pPr>
      <w:r>
        <w:t xml:space="preserve">Validation Strategy</w:t>
      </w:r>
    </w:p>
    <w:p>
      <w:pPr>
        <w:spacing w:after="180" w:line="320"/>
        <w:jc w:val="both"/>
      </w:pPr>
      <w:r>
        <w:t xml:space="preserve">Compare the simulated heating time against a simple lumped capacitance calculation for a thin walled pot, which gives a closed form estimate of the total energy needed to heat the water mass. The simulated result should match within five to ten percent. Repeat the calculation with three different pot materials and confirm that the expected ordering holds, with copper heating fastest and stainless steel slowest for equal wall thickness.</w:t>
      </w:r>
    </w:p>
    <w:p>
      <w:pPr>
        <w:pStyle w:val="Heading3"/>
        <w:spacing w:after="120" w:before="220"/>
      </w:pPr>
      <w:r>
        <w:t xml:space="preserve">Deliverables</w:t>
      </w:r>
    </w:p>
    <w:p>
      <w:pPr>
        <w:pStyle w:val="ListParagraph"/>
        <w:numPr>
          <w:ilvl w:val="0"/>
          <w:numId w:val="2"/>
        </w:numPr>
        <w:spacing w:after="80" w:line="300"/>
      </w:pPr>
      <w:r>
        <w:t xml:space="preserve">A working Warp based CFD plus heat transfer solver that takes the Phase 1 scene and advances it in time.</w:t>
      </w:r>
    </w:p>
    <w:p>
      <w:pPr>
        <w:pStyle w:val="ListParagraph"/>
        <w:numPr>
          <w:ilvl w:val="0"/>
          <w:numId w:val="2"/>
        </w:numPr>
        <w:spacing w:after="80" w:line="300"/>
      </w:pPr>
      <w:r>
        <w:t xml:space="preserve">A validation notebook comparing simulated heating curves against the lumped capacitance reference for at least three pot materials.</w:t>
      </w:r>
    </w:p>
    <w:p>
      <w:pPr>
        <w:pStyle w:val="ListParagraph"/>
        <w:numPr>
          <w:ilvl w:val="0"/>
          <w:numId w:val="2"/>
        </w:numPr>
        <w:spacing w:after="80" w:line="300"/>
      </w:pPr>
      <w:r>
        <w:t xml:space="preserve">A short technical note describing the numerical scheme and grid convergence study, with wall time per simulated second recorded on the RTX 6000 Ada at both 2 mm and 0.5 mm resolution.</w:t>
      </w:r>
    </w:p>
    <w:p>
      <w:pPr>
        <w:pStyle w:val="Heading2"/>
        <w:spacing w:after="140" w:before="280"/>
      </w:pPr>
      <w:r>
        <w:t xml:space="preserve">Phase 3. Nucleate Boiling and Vapor Generation</w:t>
      </w:r>
    </w:p>
    <w:p>
      <w:pPr>
        <w:spacing w:after="160" w:line="300"/>
        <w:jc w:val="left"/>
      </w:pPr>
      <w:r>
        <w:rPr>
          <w:i/>
          <w:iCs/>
        </w:rPr>
        <w:t xml:space="preserve">Duration: six weeks. Goal: transition from heated water to active nucleate boiling, with bubbles forming, detaching, rising, and venting at the free surface.</w:t>
      </w:r>
    </w:p>
    <w:p>
      <w:pPr>
        <w:pStyle w:val="Heading3"/>
        <w:spacing w:after="120" w:before="220"/>
      </w:pPr>
      <w:r>
        <w:t xml:space="preserve">Scope</w:t>
      </w:r>
    </w:p>
    <w:p>
      <w:pPr>
        <w:spacing w:after="180" w:line="320"/>
        <w:jc w:val="both"/>
      </w:pPr>
      <w:r>
        <w:t xml:space="preserve">Implement the active nucleation site density correlation as a function of local wall superheat, using the values published by Kocamustafaogullari and Ishii. Place Lagrangian bubble particles at randomly sampled sites on the inner pot surface when the local superheat exceeds the onset of nucleate boiling threshold. Grow each bubble using a simplified Rayleigh Plesset equation, coupled to the local liquid temperature for the vapor generation rate. Apply a departure criterion based on the Fritz correlation for bubble departure diameter.</w:t>
      </w:r>
    </w:p>
    <w:p>
      <w:pPr>
        <w:spacing w:after="180" w:line="320"/>
        <w:jc w:val="both"/>
      </w:pPr>
      <w:r>
        <w:t xml:space="preserve">After departure, track bubbles as Lagrangian particles through the water field. They exchange buoyancy and drag with the continuous phase through a two way coupled source term in the Navier Stokes equations. When a bubble reaches the free surface it is removed and a small mass of water is deducted from the domain to reflect the vapor lost. The cumulative vapor mass loss is reported as part of the output.</w:t>
      </w:r>
    </w:p>
    <w:p>
      <w:pPr>
        <w:pStyle w:val="Heading3"/>
        <w:spacing w:after="120" w:before="220"/>
      </w:pPr>
      <w:r>
        <w:t xml:space="preserve">Validation Strategy</w:t>
      </w:r>
    </w:p>
    <w:p>
      <w:pPr>
        <w:spacing w:after="180" w:line="320"/>
        <w:jc w:val="both"/>
      </w:pPr>
      <w:r>
        <w:t xml:space="preserve">The integrated wall heat flux in the fully developed boiling regime should match the Rohsenow correlation within thirty percent, which is a standard acceptance threshold for engineering boiling models. The bubble departure frequency and average diameter should be within the range reported in the pool boiling literature for water on a steel or cast iron surface. The total time to bring one liter of water to a rolling boil should match a stopwatch measurement on a real stove within twenty percent.</w:t>
      </w:r>
    </w:p>
    <w:p>
      <w:pPr>
        <w:pStyle w:val="Heading3"/>
        <w:spacing w:after="120" w:before="220"/>
      </w:pPr>
      <w:r>
        <w:t xml:space="preserve">Deliverables</w:t>
      </w:r>
    </w:p>
    <w:p>
      <w:pPr>
        <w:pStyle w:val="ListParagraph"/>
        <w:numPr>
          <w:ilvl w:val="0"/>
          <w:numId w:val="2"/>
        </w:numPr>
        <w:spacing w:after="80" w:line="300"/>
      </w:pPr>
      <w:r>
        <w:t xml:space="preserve">A coupled Eulerian Lagrangian boiling solver that advances from cold water to full boiling.</w:t>
      </w:r>
    </w:p>
    <w:p>
      <w:pPr>
        <w:pStyle w:val="ListParagraph"/>
        <w:numPr>
          <w:ilvl w:val="0"/>
          <w:numId w:val="2"/>
        </w:numPr>
        <w:spacing w:after="80" w:line="300"/>
      </w:pPr>
      <w:r>
        <w:t xml:space="preserve">Bubble statistics logged to disk for each run, with comparison plots against published correlations.</w:t>
      </w:r>
    </w:p>
    <w:p>
      <w:pPr>
        <w:pStyle w:val="ListParagraph"/>
        <w:numPr>
          <w:ilvl w:val="0"/>
          <w:numId w:val="2"/>
        </w:numPr>
        <w:spacing w:after="80" w:line="300"/>
      </w:pPr>
      <w:r>
        <w:t xml:space="preserve">A second validation note documenting the boiling sub model and its limitations.</w:t>
      </w:r>
    </w:p>
    <w:p>
      <w:pPr>
        <w:pStyle w:val="Heading2"/>
        <w:spacing w:after="140" w:before="280"/>
      </w:pPr>
      <w:r>
        <w:t xml:space="preserve">Phase 4. Carrot Model and Nutrient Retention Coupling</w:t>
      </w:r>
    </w:p>
    <w:p>
      <w:pPr>
        <w:spacing w:after="160" w:line="300"/>
        <w:jc w:val="left"/>
      </w:pPr>
      <w:r>
        <w:rPr>
          <w:i/>
          <w:iCs/>
        </w:rPr>
        <w:t xml:space="preserve">Duration: four weeks. Goal: reproduce the eighty to ninety percent beta-carotene retention curve from the existing SASEL poster, now with the full three dimensional boiling environment driving the carrot surface temperature and leaching.</w:t>
      </w:r>
    </w:p>
    <w:p>
      <w:pPr>
        <w:pStyle w:val="Heading3"/>
        <w:spacing w:after="120" w:before="220"/>
      </w:pPr>
      <w:r>
        <w:t xml:space="preserve">Scope</w:t>
      </w:r>
    </w:p>
    <w:p>
      <w:pPr>
        <w:spacing w:after="180" w:line="320"/>
        <w:jc w:val="both"/>
      </w:pPr>
      <w:r>
        <w:t xml:space="preserve">Implement the reaction diffusion solver for the carrot interior using the warp.fem finite element module, which supports tetrahedral meshes and sparse preconditioned conjugate gradient solvers natively on the GPU. The nutrient concentration field evolves under Fickian diffusion with an Arrhenius rate constant for the first order thermal degradation. The activation energy and pre exponential factor are taken from the Knockaert carrot beta-carotene processing study and stored as configurable parameters.</w:t>
      </w:r>
    </w:p>
    <w:p>
      <w:pPr>
        <w:spacing w:after="180" w:line="320"/>
        <w:jc w:val="both"/>
      </w:pPr>
      <w:r>
        <w:t xml:space="preserve">At the carrot surface, leaching is modeled as a flux into the surrounding water phase that depends on the local liquid velocity and a partition coefficient. The lost beta-carotene is tracked in the water as a passive scalar so that the total mass balance can be audited. The integrated retention percentage and the spatial concentration gradient at each timestep are the primary outputs.</w:t>
      </w:r>
    </w:p>
    <w:p>
      <w:pPr>
        <w:pStyle w:val="Heading3"/>
        <w:spacing w:after="120" w:before="220"/>
      </w:pPr>
      <w:r>
        <w:t xml:space="preserve">Validation Strategy</w:t>
      </w:r>
    </w:p>
    <w:p>
      <w:pPr>
        <w:spacing w:after="180" w:line="320"/>
        <w:jc w:val="both"/>
      </w:pPr>
      <w:r>
        <w:t xml:space="preserve">The ten minute boiling retention for a standard carrot piece should match the eighty to ninety percent band from the existing SASEL results, with the experimental eighty four percent falling within the predicted range. Sensitivity runs should show the expected trend that smaller carrot pieces lose more nutrient per unit time due to the larger surface to volume ratio, and that higher boiling intensity increases leaching relative to thermal degradation.</w:t>
      </w:r>
    </w:p>
    <w:p>
      <w:pPr>
        <w:pStyle w:val="Heading3"/>
        <w:spacing w:after="120" w:before="220"/>
      </w:pPr>
      <w:r>
        <w:t xml:space="preserve">Deliverables</w:t>
      </w:r>
    </w:p>
    <w:p>
      <w:pPr>
        <w:pStyle w:val="ListParagraph"/>
        <w:numPr>
          <w:ilvl w:val="0"/>
          <w:numId w:val="2"/>
        </w:numPr>
        <w:spacing w:after="80" w:line="300"/>
      </w:pPr>
      <w:r>
        <w:t xml:space="preserve">A coupled physics pipeline where boiling water, pot conduction, and carrot nutrient retention all update together.</w:t>
      </w:r>
    </w:p>
    <w:p>
      <w:pPr>
        <w:pStyle w:val="ListParagraph"/>
        <w:numPr>
          <w:ilvl w:val="0"/>
          <w:numId w:val="2"/>
        </w:numPr>
        <w:spacing w:after="80" w:line="300"/>
      </w:pPr>
      <w:r>
        <w:t xml:space="preserve">A parametric sweep over carrot size, shape, and boiling time, compared to experimental benchmarks.</w:t>
      </w:r>
    </w:p>
    <w:p>
      <w:pPr>
        <w:pStyle w:val="ListParagraph"/>
        <w:numPr>
          <w:ilvl w:val="0"/>
          <w:numId w:val="2"/>
        </w:numPr>
        <w:spacing w:after="80" w:line="300"/>
      </w:pPr>
      <w:r>
        <w:t xml:space="preserve">A technical summary extending the existing SASEL carrot beta-carotene poster with the new three dimensional coupled predictions.</w:t>
      </w:r>
    </w:p>
    <w:p>
      <w:pPr>
        <w:pStyle w:val="Heading2"/>
        <w:spacing w:after="140" w:before="280"/>
      </w:pPr>
      <w:r>
        <w:t xml:space="preserve">Phase 5. Rust and Custom CUDA Acceleration</w:t>
      </w:r>
    </w:p>
    <w:p>
      <w:pPr>
        <w:spacing w:after="160" w:line="300"/>
        <w:jc w:val="left"/>
      </w:pPr>
      <w:r>
        <w:rPr>
          <w:i/>
          <w:iCs/>
        </w:rPr>
        <w:t xml:space="preserve">Duration: four weeks. Goal: identify the three or four hottest kernels in the full pipeline and replace them with hand written CUDA through a Rust orchestration layer, with a measured speedup of at least two to four times on those kernels.</w:t>
      </w:r>
    </w:p>
    <w:p>
      <w:pPr>
        <w:pStyle w:val="Heading3"/>
        <w:spacing w:after="120" w:before="220"/>
      </w:pPr>
      <w:r>
        <w:t xml:space="preserve">Scope</w:t>
      </w:r>
    </w:p>
    <w:p>
      <w:pPr>
        <w:spacing w:after="180" w:line="320"/>
        <w:jc w:val="both"/>
      </w:pPr>
      <w:r>
        <w:t xml:space="preserve">Profile the full Phase 4 simulation with NVIDIA Nsight Systems to find the kernels that dominate the wall time. Likely candidates based on similar projects are the bubble particle to grid scatter, the carrot reaction diffusion assembly, and the pressure projection Poisson solve. For each candidate, write a hand tuned .cu implementation that exploits shared memory, cooperative groups, and if possible tensor cores, compile it to a shared library with nvcc, and expose it through a Rust crate that uses cudarc for context management and libloading for dynamic symbol resolution.</w:t>
      </w:r>
    </w:p>
    <w:p>
      <w:pPr>
        <w:spacing w:after="180" w:line="320"/>
        <w:jc w:val="both"/>
      </w:pPr>
      <w:r>
        <w:t xml:space="preserve">The Rust crate exposes a thin PyO3 based Python API so that Warp kernels can hand off device pointers to the custom kernels without copying data back to the host. The CUDA context is shared, and the handoff uses the __cuda_array_interface__ protocol that Warp already supports. The result is a hybrid solver where Warp drives the high level loop and Rust orchestrates the fastest inner routines.</w:t>
      </w:r>
    </w:p>
    <w:p>
      <w:pPr>
        <w:pStyle w:val="Heading3"/>
        <w:spacing w:after="120" w:before="220"/>
      </w:pPr>
      <w:r>
        <w:t xml:space="preserve">Deliverables</w:t>
      </w:r>
    </w:p>
    <w:p>
      <w:pPr>
        <w:pStyle w:val="ListParagraph"/>
        <w:numPr>
          <w:ilvl w:val="0"/>
          <w:numId w:val="2"/>
        </w:numPr>
        <w:spacing w:after="80" w:line="300"/>
      </w:pPr>
      <w:r>
        <w:t xml:space="preserve">A Rust crate exposing the custom CUDA kernels to Python and Warp.</w:t>
      </w:r>
    </w:p>
    <w:p>
      <w:pPr>
        <w:pStyle w:val="ListParagraph"/>
        <w:numPr>
          <w:ilvl w:val="0"/>
          <w:numId w:val="2"/>
        </w:numPr>
        <w:spacing w:after="80" w:line="300"/>
      </w:pPr>
      <w:r>
        <w:t xml:space="preserve">A profiling report showing the baseline and accelerated performance side by side.</w:t>
      </w:r>
    </w:p>
    <w:p>
      <w:pPr>
        <w:pStyle w:val="ListParagraph"/>
        <w:numPr>
          <w:ilvl w:val="0"/>
          <w:numId w:val="2"/>
        </w:numPr>
        <w:spacing w:after="80" w:line="300"/>
      </w:pPr>
      <w:r>
        <w:t xml:space="preserve">Regression tests confirming that the optimized kernels produce the same scientific answers as the Warp reference, within numerical tolerance.</w:t>
      </w:r>
    </w:p>
    <w:p>
      <w:pPr>
        <w:pStyle w:val="Heading3"/>
        <w:spacing w:after="120" w:before="220"/>
      </w:pPr>
      <w:r>
        <w:t xml:space="preserve">Risks and Mitigations</w:t>
      </w:r>
    </w:p>
    <w:p>
      <w:pPr>
        <w:spacing w:after="180" w:line="320"/>
        <w:jc w:val="both"/>
      </w:pPr>
      <w:r>
        <w:t xml:space="preserve">The Rust CUDA ecosystem is maturing but still has sharp edges. The cudarc and rustacuda crates are both actively maintained and suitable, but they evolve quickly. Pin versions explicitly in Cargo.toml and maintain an internal wrapper layer so that a future crate migration is contained to one module.</w:t>
      </w:r>
    </w:p>
    <w:p>
      <w:pPr>
        <w:pStyle w:val="Heading2"/>
        <w:spacing w:after="140" w:before="280"/>
      </w:pPr>
      <w:r>
        <w:t xml:space="preserve">Phase 6. Live 3D Dashboard and Parametric Controls</w:t>
      </w:r>
    </w:p>
    <w:p>
      <w:pPr>
        <w:spacing w:after="160" w:line="300"/>
        <w:jc w:val="left"/>
      </w:pPr>
      <w:r>
        <w:rPr>
          <w:i/>
          <w:iCs/>
        </w:rPr>
        <w:t xml:space="preserve">Duration: five weeks. Goal: a web based dashboard that streams the running simulation in 3D at 30 to 60 frames per second, lets the user adjust parameters live, and records sessions for replay.</w:t>
      </w:r>
    </w:p>
    <w:p>
      <w:pPr>
        <w:pStyle w:val="Heading3"/>
        <w:spacing w:after="120" w:before="220"/>
      </w:pPr>
      <w:r>
        <w:t xml:space="preserve">Scope</w:t>
      </w:r>
    </w:p>
    <w:p>
      <w:pPr>
        <w:spacing w:after="180" w:line="320"/>
        <w:jc w:val="both"/>
      </w:pPr>
      <w:r>
        <w:t xml:space="preserve">Build a FastAPI and Rust Axum WebSocket server that streams simulation state to the browser. Snapshots contain the volume of fluid field, the temperature field, the bubble particle positions, and the carrot nutrient concentration. Fields are compressed using zstd and streamed every fifty to one hundred milliseconds. A control channel from the browser to the solver lets the user adjust heat flux, carrot size, pot material, and time scaling without restarting.</w:t>
      </w:r>
    </w:p>
    <w:p>
      <w:pPr>
        <w:spacing w:after="180" w:line="320"/>
        <w:jc w:val="both"/>
      </w:pPr>
      <w:r>
        <w:t xml:space="preserve">The front end is a React and TypeScript single page application that uses React Three Fiber to render the scene. The cookware is a standard glTF mesh loaded once. The water is rendered as a ray marched volume using a custom shader that samples the streamed volume of fluid field. The bubbles are rendered as instanced spheres. The carrot uses a volumetric rendering pass that shows the concentration gradient. Surrounding the 3D view, a sidebar shows live plots of average water temperature, vapor mass flux, and carrot retention, drawn with Plotly or Recharts.</w:t>
      </w:r>
    </w:p>
    <w:p>
      <w:pPr>
        <w:spacing w:after="180" w:line="320"/>
        <w:jc w:val="both"/>
      </w:pPr>
      <w:r>
        <w:t xml:space="preserve">The dashboard reads well on a laptop over a home network and supports a share link mechanism that serializes camera position and parameter state into the URL, so that collaborators receive exactly the view the sender meant to share.</w:t>
      </w:r>
    </w:p>
    <w:p>
      <w:pPr>
        <w:pStyle w:val="Heading3"/>
        <w:spacing w:after="120" w:before="220"/>
      </w:pPr>
      <w:r>
        <w:t xml:space="preserve">Deliverables</w:t>
      </w:r>
    </w:p>
    <w:p>
      <w:pPr>
        <w:pStyle w:val="ListParagraph"/>
        <w:numPr>
          <w:ilvl w:val="0"/>
          <w:numId w:val="2"/>
        </w:numPr>
        <w:spacing w:after="80" w:line="300"/>
      </w:pPr>
      <w:r>
        <w:t xml:space="preserve">A deployable web dashboard bundled as a container with the backend and front end together.</w:t>
      </w:r>
    </w:p>
    <w:p>
      <w:pPr>
        <w:pStyle w:val="ListParagraph"/>
        <w:numPr>
          <w:ilvl w:val="0"/>
          <w:numId w:val="2"/>
        </w:numPr>
        <w:spacing w:after="80" w:line="300"/>
      </w:pPr>
      <w:r>
        <w:t xml:space="preserve">A scenario recorder that saves full parameter and state histories to disk for reproducible playback.</w:t>
      </w:r>
    </w:p>
    <w:p>
      <w:pPr>
        <w:pStyle w:val="ListParagraph"/>
        <w:numPr>
          <w:ilvl w:val="0"/>
          <w:numId w:val="2"/>
        </w:numPr>
        <w:spacing w:after="80" w:line="300"/>
      </w:pPr>
      <w:r>
        <w:t xml:space="preserve">A short demonstration video walking through three canonical scenarios: stainless steel versus copper pots, small versus large carrot pieces, and a rolling boil versus a gentle simmer.</w:t>
      </w:r>
    </w:p>
    <w:p>
      <w:pPr>
        <w:pStyle w:val="Heading2"/>
        <w:spacing w:after="140" w:before="280"/>
      </w:pPr>
      <w:r>
        <w:t xml:space="preserve">Phase 7. Optional Omniverse Kit Migration</w:t>
      </w:r>
    </w:p>
    <w:p>
      <w:pPr>
        <w:spacing w:after="160" w:line="300"/>
        <w:jc w:val="left"/>
      </w:pPr>
      <w:r>
        <w:rPr>
          <w:i/>
          <w:iCs/>
        </w:rPr>
        <w:t xml:space="preserve">Duration: three to four weeks. Goal: port the dashboard's 3D view to an Omniverse Kit application that streams through WebRTC, gaining production grade ray tracing and native USD.</w:t>
      </w:r>
    </w:p>
    <w:p>
      <w:pPr>
        <w:pStyle w:val="Heading3"/>
        <w:spacing w:after="120" w:before="220"/>
      </w:pPr>
      <w:r>
        <w:t xml:space="preserve">Scope</w:t>
      </w:r>
    </w:p>
    <w:p>
      <w:pPr>
        <w:spacing w:after="180" w:line="320"/>
        <w:jc w:val="both"/>
      </w:pPr>
      <w:r>
        <w:t xml:space="preserve">This phase is optional and is appropriate once the science is validated and the project is ready to be shown to external partners at IFAD, the World Bank, Nvidia, or industry sponsors. Port the scene to a Kit application using the USD Viewer sample as a starting point. Push simulation updates from the solver to the Kit app through the standard Omniverse Live Connector, or through an MQTT bridge for higher throughput updates as used in warehouse digital twin patterns. Deploy the Kit app with the WebRTC streaming library so that any browser can view the scene without installing Omniverse.</w:t>
      </w:r>
    </w:p>
    <w:p>
      <w:pPr>
        <w:spacing w:after="180" w:line="320"/>
        <w:jc w:val="both"/>
      </w:pPr>
      <w:r>
        <w:t xml:space="preserve">The value of this migration is not raw performance but the quality of the rendering and the USD interoperability. Real time ray traced water, accurate caustics, and lighting that truly behaves like a physical scene all become available with little code change in the solver layer. The data contract set up in Phase Six is preserved, so the migration affects only the rendering target.</w:t>
      </w:r>
    </w:p>
    <w:p>
      <w:pPr>
        <w:pStyle w:val="Heading1"/>
        <w:spacing w:after="180" w:before="360"/>
      </w:pPr>
      <w:r>
        <w:t xml:space="preserve">7. Validation, Testing, and Quality Strategy</w:t>
      </w:r>
    </w:p>
    <w:p>
      <w:pPr>
        <w:spacing w:after="180" w:line="320"/>
        <w:jc w:val="both"/>
      </w:pPr>
      <w:r>
        <w:t xml:space="preserve">Every phase from Phase Two onward has a defined validation reference, which is the single most important design decision in any physics simulation. Without an external truth, a beautiful dashboard is indistinguishable from a beautiful mistake.</w:t>
      </w:r>
    </w:p>
    <w:p>
      <w:pPr>
        <w:spacing w:after="180" w:line="320"/>
        <w:jc w:val="both"/>
      </w:pPr>
      <w:r>
        <w:t xml:space="preserve">Unit tests run on every commit and cover the material properties library, the geometry generation, the scalar field operators, and the kernel launchers. A continuous integration pipeline runs the tests plus a short smoke simulation on a cloud runner with a T4 GPU and confirms that the numerical results are stable to six significant digits between commits.</w:t>
      </w:r>
    </w:p>
    <w:p>
      <w:pPr>
        <w:spacing w:after="180" w:line="320"/>
        <w:jc w:val="both"/>
      </w:pPr>
      <w:r>
        <w:t xml:space="preserve">Scientific validation runs use reduced resolution versions of the full pipeline and compare against three reference classes. The first is analytical solutions for canonical cases such as one dimensional transient conduction and a Stefan evaporation problem. The second is published correlations for the boiling heat transfer and bubble dynamics. The third is experimental data from the SASEL carrot beta-carotene work. The project is only considered successful when all three classes agree within their stated tolerances.</w:t>
      </w:r>
    </w:p>
    <w:p>
      <w:pPr>
        <w:spacing w:after="180" w:line="320"/>
        <w:jc w:val="both"/>
      </w:pPr>
      <w:r>
        <w:t xml:space="preserve">Performance regression tests run nightly and flag any kernel whose throughput drops by more than ten percent between builds. This catches both accidental changes in kernel launch configuration and changes in upstream Warp or CUDA that affect compiled code.</w:t>
      </w:r>
    </w:p>
    <w:p>
      <w:pPr>
        <w:pStyle w:val="Heading1"/>
        <w:spacing w:after="180" w:before="360"/>
      </w:pPr>
      <w:r>
        <w:t xml:space="preserve">8. Team, Roles, and Time Allocation</w:t>
      </w:r>
    </w:p>
    <w:p>
      <w:pPr>
        <w:spacing w:after="180" w:line="320"/>
        <w:jc w:val="both"/>
      </w:pPr>
      <w:r>
        <w:t xml:space="preserve">The minimum viable team is three people working part time. A physics lead, likely a graduate student with food engineering and numerical methods training, owns Phases One through Four and the scientific validation throughout. A systems and GPU lead, with C++, CUDA, and Rust experience, owns Phase Zero and Phase Five and supports the others on performance. A front end lead, with TypeScript and React experience, owns Phase Six and shares Phase Seven with the systems lead. A principal investigator, in this case Emmanuel with senior guidance from Dr. Ebenezer Kwofie, oversees scope, scientific direction, and stakeholder engagement.</w:t>
      </w:r>
    </w:p>
    <w:p>
      <w:pPr>
        <w:spacing w:after="180" w:line="320"/>
        <w:jc w:val="both"/>
      </w:pPr>
      <w:r>
        <w:t xml:space="preserve">A realistic calendar runs this team over eight to nine months of part time effort, or four to five months of full time effort. Parallel work begins after Phase Two, with the systems lead starting Phase Five profiling while the physics lead works Phase Three, and the front end lead can begin scaffolding the dashboard as soon as the Phase Three data format is stable.</w:t>
      </w:r>
    </w:p>
    <w:p>
      <w:pPr>
        <w:pStyle w:val="Heading1"/>
        <w:spacing w:after="180" w:before="360"/>
      </w:pPr>
      <w:r>
        <w:t xml:space="preserve">9. Risks and Open Questions</w:t>
      </w:r>
    </w:p>
    <w:p>
      <w:pPr>
        <w:spacing w:after="180" w:line="320"/>
        <w:jc w:val="both"/>
      </w:pPr>
      <w:r>
        <w:t xml:space="preserve">The technical risks fall into three categories. The first is scientific fidelity. The Rensselaer style boiling sub model is a compromise that trades microlayer detail for tractability. If a collaborator or reviewer requires full direct numerical simulation of the microlayer, the single workstation approach does not suffice and a cluster deployment becomes mandatory. The mitigation is to document this scope choice explicitly in every deliverable and to preserve the ability to swap in a higher fidelity sub model later if a cluster is available.</w:t>
      </w:r>
    </w:p>
    <w:p>
      <w:pPr>
        <w:spacing w:after="180" w:line="320"/>
        <w:jc w:val="both"/>
      </w:pPr>
      <w:r>
        <w:t xml:space="preserve">The second risk is Rust CUDA ecosystem churn. The cudarc and rustacuda crates are young relative to the equivalent C++ wrappers, and breaking changes between minor versions are common. The mitigation is version pinning, a thin internal wrapper, and keeping the CUDA kernels themselves pure C rather than Rust, so that a future rewrite of the host side code does not touch the device code.</w:t>
      </w:r>
    </w:p>
    <w:p>
      <w:pPr>
        <w:spacing w:after="180" w:line="320"/>
        <w:jc w:val="both"/>
      </w:pPr>
      <w:r>
        <w:t xml:space="preserve">The third risk is dashboard performance under real network conditions. Streaming a full three dimensional volume at sixty frames per second is not trivial even with zstd compression. The mitigation is to stream a downsampled field for the live view and offer a high resolution frame on demand when the user pauses the simulation.</w:t>
      </w:r>
    </w:p>
    <w:p>
      <w:pPr>
        <w:spacing w:after="180" w:line="320"/>
        <w:jc w:val="both"/>
      </w:pPr>
      <w:r>
        <w:t xml:space="preserve">Open questions to resolve early include the exact choice of cookware materials to support in Version One, the set of canonical carrot shapes and sizes to validate against, and whether the broth contains salt or fat, both of which change the thermophysical properties and the beta-carotene leaching coefficient materially.</w:t>
      </w:r>
    </w:p>
    <w:p>
      <w:pPr>
        <w:pStyle w:val="Heading1"/>
        <w:spacing w:after="180" w:before="360"/>
      </w:pPr>
      <w:r>
        <w:t xml:space="preserve">10. Key References</w:t>
      </w:r>
    </w:p>
    <w:p>
      <w:pPr>
        <w:pStyle w:val="ListParagraph"/>
        <w:numPr>
          <w:ilvl w:val="0"/>
          <w:numId w:val="2"/>
        </w:numPr>
        <w:spacing w:after="80" w:line="300"/>
      </w:pPr>
      <w:r>
        <w:t xml:space="preserve">NVIDIA Warp documentation and examples repository, including example_sph.py, example_apic_fluid.py, and the warp.fem diffusion examples. https://nvidia.github.io/warp</w:t>
      </w:r>
    </w:p>
    <w:p>
      <w:pPr>
        <w:pStyle w:val="ListParagraph"/>
        <w:numPr>
          <w:ilvl w:val="0"/>
          <w:numId w:val="2"/>
        </w:numPr>
        <w:spacing w:after="80" w:line="300"/>
      </w:pPr>
      <w:r>
        <w:t xml:space="preserve">Autodesk XLB and the Warp backend benchmark results, which establish that Python expressed GPU CFD reaches roughly ninety five percent of the throughput of hand optimized OpenCL.</w:t>
      </w:r>
    </w:p>
    <w:p>
      <w:pPr>
        <w:pStyle w:val="ListParagraph"/>
        <w:numPr>
          <w:ilvl w:val="0"/>
          <w:numId w:val="2"/>
        </w:numPr>
        <w:spacing w:after="80" w:line="300"/>
      </w:pPr>
      <w:r>
        <w:t xml:space="preserve">Long et al., Direct numerical simulation of nucleate boiling with a resolved microlayer and conjugate heat transfer, Journal of Fluid Mechanics, 2025, arXiv 2503.12171, for the DNS reference formulation.</w:t>
      </w:r>
    </w:p>
    <w:p>
      <w:pPr>
        <w:pStyle w:val="ListParagraph"/>
        <w:numPr>
          <w:ilvl w:val="0"/>
          <w:numId w:val="2"/>
        </w:numPr>
        <w:spacing w:after="80" w:line="300"/>
      </w:pPr>
      <w:r>
        <w:t xml:space="preserve">Kunkelmann and Stephan, Numerical simulation of boiling on a heated wall using OpenFOAM with a microlayer sub model, for the engineering scale conjugate heat transfer approach adopted here.</w:t>
      </w:r>
    </w:p>
    <w:p>
      <w:pPr>
        <w:pStyle w:val="ListParagraph"/>
        <w:numPr>
          <w:ilvl w:val="0"/>
          <w:numId w:val="2"/>
        </w:numPr>
        <w:spacing w:after="80" w:line="300"/>
      </w:pPr>
      <w:r>
        <w:t xml:space="preserve">Knockaert et al., Carrot beta-carotene degradation and isomerisation kinetics during thermal processing, Journal of Agricultural and Food Chemistry, 2012, for the beta-carotene Arrhenius parameters.</w:t>
      </w:r>
    </w:p>
    <w:p>
      <w:pPr>
        <w:pStyle w:val="ListParagraph"/>
        <w:numPr>
          <w:ilvl w:val="0"/>
          <w:numId w:val="2"/>
        </w:numPr>
        <w:spacing w:after="80" w:line="300"/>
      </w:pPr>
      <w:r>
        <w:t xml:space="preserve">Koca et al., Kinetics of colour changes in dehydrated carrots, Journal of Food Engineering, 2007, for carotenoid activation energies in the range of sixty-six to seventy-nine kilojoules per mole.</w:t>
      </w:r>
    </w:p>
    <w:p>
      <w:pPr>
        <w:pStyle w:val="ListParagraph"/>
        <w:numPr>
          <w:ilvl w:val="0"/>
          <w:numId w:val="2"/>
        </w:numPr>
        <w:spacing w:after="80" w:line="300"/>
      </w:pPr>
      <w:r>
        <w:t xml:space="preserve">NVIDIA Omniverse Kit App Streaming documentation and the USD Viewer sample, as the reference for an eventual Phase Seven migration. https://docs.nvidia.com/omniverse</w:t>
      </w:r>
    </w:p>
    <w:p>
      <w:pPr>
        <w:pStyle w:val="ListParagraph"/>
        <w:numPr>
          <w:ilvl w:val="0"/>
          <w:numId w:val="2"/>
        </w:numPr>
        <w:spacing w:after="80" w:line="300"/>
      </w:pPr>
      <w:r>
        <w:t xml:space="preserve">The cudarc, rustacuda, and link_cuda_kernel projects, which describe practical patterns for invoking nvcc compiled kernels from Rust through libloading and FFI.</w:t>
      </w:r>
    </w:p>
    <w:p>
      <w:pPr>
        <w:pStyle w:val="Heading1"/>
        <w:spacing w:after="180" w:before="360"/>
      </w:pPr>
      <w:r>
        <w:t xml:space="preserve">11. Immediate Next Steps</w:t>
      </w:r>
    </w:p>
    <w:p>
      <w:pPr>
        <w:spacing w:after="180" w:line="320"/>
        <w:jc w:val="both"/>
      </w:pPr>
      <w:r>
        <w:t xml:space="preserve">The first three concrete actions, each achievable in a single working day, move the project from plan to execution. First, enable WSL2 on the Windows host, install Ubuntu 24.04, verify CUDA passthrough with nvidia-smi, and run the Warp SPH and APIC fluid examples to confirm the RTX 6000 Ada performs as expected. Second, sketch the parametric USD scene for the cookware and water in Blender or USD Composer, with placeholder dimensions, and export it to disk. Third, draft the JSON schema for the simulation configuration file and the WebSocket snapshot format, since this data contract governs every later layer and deserves careful design up front.</w:t>
      </w:r>
    </w:p>
    <w:p>
      <w:pPr>
        <w:spacing w:after="180" w:line="320"/>
        <w:jc w:val="both"/>
      </w:pPr>
      <w:r>
        <w:t xml:space="preserve">With those three artifacts in hand, Phase One starts from a concrete foundation and the scientific work of Phase Two can begin within a month.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Multiphysics Boiling Simulation Project Plan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SASEL Lab, McGill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3D2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D9770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Multiphysics 3D Boiling Simulation Project Plan</dc:title>
  <dc:creator>Emmanuel A. Kwofie</dc:creator>
  <dc:description>Phased development plan for GPU accelerated multiphysics simulation of boiling in household cookware with carrot nutrient retention</dc:description>
  <cp:lastModifiedBy>Un-named</cp:lastModifiedBy>
  <cp:revision>1</cp:revision>
  <dcterms:created xsi:type="dcterms:W3CDTF">2026-04-17T01:54:02.867Z</dcterms:created>
  <dcterms:modified xsi:type="dcterms:W3CDTF">2026-04-17T01:54:02.868Z</dcterms:modified>
</cp:coreProperties>
</file>

<file path=docProps/custom.xml><?xml version="1.0" encoding="utf-8"?>
<Properties xmlns="http://schemas.openxmlformats.org/officeDocument/2006/custom-properties" xmlns:vt="http://schemas.openxmlformats.org/officeDocument/2006/docPropsVTypes"/>
</file>