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D3B4D" w14:textId="77777777" w:rsidR="00FD0A98" w:rsidRPr="00FD0A98" w:rsidRDefault="00FD0A98" w:rsidP="00FD0A98">
      <w:pPr>
        <w:spacing w:line="360" w:lineRule="auto"/>
        <w:jc w:val="both"/>
        <w:rPr>
          <w:rFonts w:ascii="Arial" w:hAnsi="Arial" w:cs="Arial"/>
          <w:b/>
          <w:bCs/>
        </w:rPr>
      </w:pPr>
      <w:r w:rsidRPr="00FD0A98">
        <w:rPr>
          <w:rFonts w:ascii="Arial" w:hAnsi="Arial" w:cs="Arial"/>
          <w:b/>
          <w:bCs/>
        </w:rPr>
        <w:t>Core Components of the Blueprint</w:t>
      </w:r>
    </w:p>
    <w:p w14:paraId="6228CCD1" w14:textId="77777777" w:rsidR="00FD0A98" w:rsidRPr="00FD0A98" w:rsidRDefault="00FD0A98" w:rsidP="00FD0A98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FD0A98">
        <w:rPr>
          <w:rFonts w:ascii="Arial" w:hAnsi="Arial" w:cs="Arial"/>
          <w:b/>
          <w:bCs/>
        </w:rPr>
        <w:t>Comprehensive Process Framework</w:t>
      </w:r>
      <w:r w:rsidRPr="00FD0A98">
        <w:rPr>
          <w:rFonts w:ascii="Arial" w:hAnsi="Arial" w:cs="Arial"/>
        </w:rPr>
        <w:t xml:space="preserve"> </w:t>
      </w:r>
    </w:p>
    <w:p w14:paraId="52465194" w14:textId="77777777" w:rsidR="00FD0A98" w:rsidRPr="00FD0A98" w:rsidRDefault="00FD0A98" w:rsidP="00FD0A98">
      <w:pPr>
        <w:numPr>
          <w:ilvl w:val="1"/>
          <w:numId w:val="4"/>
        </w:numPr>
        <w:spacing w:line="360" w:lineRule="auto"/>
        <w:jc w:val="both"/>
        <w:rPr>
          <w:rFonts w:ascii="Arial" w:hAnsi="Arial" w:cs="Arial"/>
        </w:rPr>
      </w:pPr>
      <w:r w:rsidRPr="00FD0A98">
        <w:rPr>
          <w:rFonts w:ascii="Arial" w:hAnsi="Arial" w:cs="Arial"/>
        </w:rPr>
        <w:t>A structured system mapping all critical processes across the food threat management lifecycle</w:t>
      </w:r>
    </w:p>
    <w:p w14:paraId="6EB48AEE" w14:textId="77777777" w:rsidR="00FD0A98" w:rsidRPr="00FD0A98" w:rsidRDefault="00FD0A98" w:rsidP="00FD0A98">
      <w:pPr>
        <w:numPr>
          <w:ilvl w:val="1"/>
          <w:numId w:val="4"/>
        </w:numPr>
        <w:spacing w:line="360" w:lineRule="auto"/>
        <w:jc w:val="both"/>
        <w:rPr>
          <w:rFonts w:ascii="Arial" w:hAnsi="Arial" w:cs="Arial"/>
        </w:rPr>
      </w:pPr>
      <w:r w:rsidRPr="00FD0A98">
        <w:rPr>
          <w:rFonts w:ascii="Arial" w:hAnsi="Arial" w:cs="Arial"/>
        </w:rPr>
        <w:t>Clear delineation of anticipation, detection, response, and recovery phases</w:t>
      </w:r>
    </w:p>
    <w:p w14:paraId="1F42C972" w14:textId="77777777" w:rsidR="00FD0A98" w:rsidRPr="00FD0A98" w:rsidRDefault="00FD0A98" w:rsidP="00FD0A98">
      <w:pPr>
        <w:numPr>
          <w:ilvl w:val="1"/>
          <w:numId w:val="4"/>
        </w:numPr>
        <w:spacing w:line="360" w:lineRule="auto"/>
        <w:jc w:val="both"/>
        <w:rPr>
          <w:rFonts w:ascii="Arial" w:hAnsi="Arial" w:cs="Arial"/>
        </w:rPr>
      </w:pPr>
      <w:r w:rsidRPr="00FD0A98">
        <w:rPr>
          <w:rFonts w:ascii="Arial" w:hAnsi="Arial" w:cs="Arial"/>
        </w:rPr>
        <w:t>Integration of findings from the three use cases (cereal, shellfish, and water supply chains)</w:t>
      </w:r>
    </w:p>
    <w:p w14:paraId="6036CCFD" w14:textId="77777777" w:rsidR="00FD0A98" w:rsidRPr="00FD0A98" w:rsidRDefault="00FD0A98" w:rsidP="00FD0A98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FD0A98">
        <w:rPr>
          <w:rFonts w:ascii="Arial" w:hAnsi="Arial" w:cs="Arial"/>
          <w:b/>
          <w:bCs/>
        </w:rPr>
        <w:t>Threat Assessment Methodology</w:t>
      </w:r>
      <w:r w:rsidRPr="00FD0A98">
        <w:rPr>
          <w:rFonts w:ascii="Arial" w:hAnsi="Arial" w:cs="Arial"/>
        </w:rPr>
        <w:t xml:space="preserve"> </w:t>
      </w:r>
    </w:p>
    <w:p w14:paraId="3162F70E" w14:textId="77777777" w:rsidR="00FD0A98" w:rsidRPr="00FD0A98" w:rsidRDefault="00FD0A98" w:rsidP="00FD0A98">
      <w:pPr>
        <w:numPr>
          <w:ilvl w:val="1"/>
          <w:numId w:val="5"/>
        </w:numPr>
        <w:spacing w:line="360" w:lineRule="auto"/>
        <w:jc w:val="both"/>
        <w:rPr>
          <w:rFonts w:ascii="Arial" w:hAnsi="Arial" w:cs="Arial"/>
        </w:rPr>
      </w:pPr>
      <w:r w:rsidRPr="00FD0A98">
        <w:rPr>
          <w:rFonts w:ascii="Arial" w:hAnsi="Arial" w:cs="Arial"/>
        </w:rPr>
        <w:t>Standardized approaches to identify and evaluate CBR contamination risks</w:t>
      </w:r>
    </w:p>
    <w:p w14:paraId="3CAC9234" w14:textId="77777777" w:rsidR="00FD0A98" w:rsidRPr="00FD0A98" w:rsidRDefault="00FD0A98" w:rsidP="00FD0A98">
      <w:pPr>
        <w:numPr>
          <w:ilvl w:val="1"/>
          <w:numId w:val="5"/>
        </w:numPr>
        <w:spacing w:line="360" w:lineRule="auto"/>
        <w:jc w:val="both"/>
        <w:rPr>
          <w:rFonts w:ascii="Arial" w:hAnsi="Arial" w:cs="Arial"/>
        </w:rPr>
      </w:pPr>
      <w:r w:rsidRPr="00FD0A98">
        <w:rPr>
          <w:rFonts w:ascii="Arial" w:hAnsi="Arial" w:cs="Arial"/>
        </w:rPr>
        <w:t>Integration of data from horizon scanning and early warning systems</w:t>
      </w:r>
    </w:p>
    <w:p w14:paraId="43719E9F" w14:textId="77777777" w:rsidR="00FD0A98" w:rsidRPr="00FD0A98" w:rsidRDefault="00FD0A98" w:rsidP="00FD0A98">
      <w:pPr>
        <w:numPr>
          <w:ilvl w:val="1"/>
          <w:numId w:val="5"/>
        </w:numPr>
        <w:spacing w:line="360" w:lineRule="auto"/>
        <w:jc w:val="both"/>
        <w:rPr>
          <w:rFonts w:ascii="Arial" w:hAnsi="Arial" w:cs="Arial"/>
        </w:rPr>
      </w:pPr>
      <w:r w:rsidRPr="00FD0A98">
        <w:rPr>
          <w:rFonts w:ascii="Arial" w:hAnsi="Arial" w:cs="Arial"/>
        </w:rPr>
        <w:t>Protocols for distinguishing between intentional and accidental contamination</w:t>
      </w:r>
    </w:p>
    <w:p w14:paraId="78DF0968" w14:textId="77777777" w:rsidR="00FD0A98" w:rsidRPr="00FD0A98" w:rsidRDefault="00FD0A98" w:rsidP="00FD0A98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FD0A98">
        <w:rPr>
          <w:rFonts w:ascii="Arial" w:hAnsi="Arial" w:cs="Arial"/>
          <w:b/>
          <w:bCs/>
        </w:rPr>
        <w:t>Detection and Monitoring Protocols</w:t>
      </w:r>
      <w:r w:rsidRPr="00FD0A98">
        <w:rPr>
          <w:rFonts w:ascii="Arial" w:hAnsi="Arial" w:cs="Arial"/>
        </w:rPr>
        <w:t xml:space="preserve"> </w:t>
      </w:r>
    </w:p>
    <w:p w14:paraId="1F78DE35" w14:textId="77777777" w:rsidR="00FD0A98" w:rsidRPr="00FD0A98" w:rsidRDefault="00FD0A98" w:rsidP="00FD0A98">
      <w:pPr>
        <w:numPr>
          <w:ilvl w:val="1"/>
          <w:numId w:val="6"/>
        </w:numPr>
        <w:spacing w:line="360" w:lineRule="auto"/>
        <w:jc w:val="both"/>
        <w:rPr>
          <w:rFonts w:ascii="Arial" w:hAnsi="Arial" w:cs="Arial"/>
        </w:rPr>
      </w:pPr>
      <w:r w:rsidRPr="00FD0A98">
        <w:rPr>
          <w:rFonts w:ascii="Arial" w:hAnsi="Arial" w:cs="Arial"/>
        </w:rPr>
        <w:t>Guidelines for implementing both broad screening and targeted detection methods</w:t>
      </w:r>
    </w:p>
    <w:p w14:paraId="7AF161CE" w14:textId="77777777" w:rsidR="00FD0A98" w:rsidRPr="00FD0A98" w:rsidRDefault="00FD0A98" w:rsidP="00FD0A98">
      <w:pPr>
        <w:numPr>
          <w:ilvl w:val="1"/>
          <w:numId w:val="6"/>
        </w:numPr>
        <w:spacing w:line="360" w:lineRule="auto"/>
        <w:jc w:val="both"/>
        <w:rPr>
          <w:rFonts w:ascii="Arial" w:hAnsi="Arial" w:cs="Arial"/>
        </w:rPr>
      </w:pPr>
      <w:r w:rsidRPr="00FD0A98">
        <w:rPr>
          <w:rFonts w:ascii="Arial" w:hAnsi="Arial" w:cs="Arial"/>
        </w:rPr>
        <w:t>Sampling strategies across different points in the food supply chain</w:t>
      </w:r>
    </w:p>
    <w:p w14:paraId="194211C7" w14:textId="77777777" w:rsidR="00FD0A98" w:rsidRPr="00FD0A98" w:rsidRDefault="00FD0A98" w:rsidP="00FD0A98">
      <w:pPr>
        <w:numPr>
          <w:ilvl w:val="1"/>
          <w:numId w:val="6"/>
        </w:numPr>
        <w:spacing w:line="360" w:lineRule="auto"/>
        <w:jc w:val="both"/>
        <w:rPr>
          <w:rFonts w:ascii="Arial" w:hAnsi="Arial" w:cs="Arial"/>
        </w:rPr>
      </w:pPr>
      <w:r w:rsidRPr="00FD0A98">
        <w:rPr>
          <w:rFonts w:ascii="Arial" w:hAnsi="Arial" w:cs="Arial"/>
        </w:rPr>
        <w:t>Decision trees for interpreting test results and determining appropriate follow-up actions</w:t>
      </w:r>
    </w:p>
    <w:p w14:paraId="16B0AF2D" w14:textId="77777777" w:rsidR="00FD0A98" w:rsidRPr="00FD0A98" w:rsidRDefault="00FD0A98" w:rsidP="00FD0A98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FD0A98">
        <w:rPr>
          <w:rFonts w:ascii="Arial" w:hAnsi="Arial" w:cs="Arial"/>
          <w:b/>
          <w:bCs/>
        </w:rPr>
        <w:t>Response and Recovery Strategies</w:t>
      </w:r>
      <w:r w:rsidRPr="00FD0A98">
        <w:rPr>
          <w:rFonts w:ascii="Arial" w:hAnsi="Arial" w:cs="Arial"/>
        </w:rPr>
        <w:t xml:space="preserve"> </w:t>
      </w:r>
    </w:p>
    <w:p w14:paraId="133D0773" w14:textId="77777777" w:rsidR="00FD0A98" w:rsidRPr="00FD0A98" w:rsidRDefault="00FD0A98" w:rsidP="00FD0A98">
      <w:pPr>
        <w:numPr>
          <w:ilvl w:val="1"/>
          <w:numId w:val="7"/>
        </w:numPr>
        <w:spacing w:line="360" w:lineRule="auto"/>
        <w:jc w:val="both"/>
        <w:rPr>
          <w:rFonts w:ascii="Arial" w:hAnsi="Arial" w:cs="Arial"/>
        </w:rPr>
      </w:pPr>
      <w:r w:rsidRPr="00FD0A98">
        <w:rPr>
          <w:rFonts w:ascii="Arial" w:hAnsi="Arial" w:cs="Arial"/>
        </w:rPr>
        <w:t>Rapid response frameworks for confirmed contamination events</w:t>
      </w:r>
    </w:p>
    <w:p w14:paraId="27537FCD" w14:textId="77777777" w:rsidR="00FD0A98" w:rsidRPr="00FD0A98" w:rsidRDefault="00FD0A98" w:rsidP="00FD0A98">
      <w:pPr>
        <w:numPr>
          <w:ilvl w:val="1"/>
          <w:numId w:val="7"/>
        </w:numPr>
        <w:spacing w:line="360" w:lineRule="auto"/>
        <w:jc w:val="both"/>
        <w:rPr>
          <w:rFonts w:ascii="Arial" w:hAnsi="Arial" w:cs="Arial"/>
        </w:rPr>
      </w:pPr>
      <w:r w:rsidRPr="00FD0A98">
        <w:rPr>
          <w:rFonts w:ascii="Arial" w:hAnsi="Arial" w:cs="Arial"/>
        </w:rPr>
        <w:t>Cost-effective control measures ranked according to multiple criteria</w:t>
      </w:r>
    </w:p>
    <w:p w14:paraId="495A97B7" w14:textId="77777777" w:rsidR="00FD0A98" w:rsidRPr="00FD0A98" w:rsidRDefault="00FD0A98" w:rsidP="00FD0A98">
      <w:pPr>
        <w:numPr>
          <w:ilvl w:val="1"/>
          <w:numId w:val="7"/>
        </w:numPr>
        <w:spacing w:line="360" w:lineRule="auto"/>
        <w:jc w:val="both"/>
        <w:rPr>
          <w:rFonts w:ascii="Arial" w:hAnsi="Arial" w:cs="Arial"/>
        </w:rPr>
      </w:pPr>
      <w:r w:rsidRPr="00FD0A98">
        <w:rPr>
          <w:rFonts w:ascii="Arial" w:hAnsi="Arial" w:cs="Arial"/>
        </w:rPr>
        <w:t>Recovery protocols focusing on resumption of operations and restoration of consumer trust</w:t>
      </w:r>
    </w:p>
    <w:p w14:paraId="337B22D2" w14:textId="77777777" w:rsidR="00FD0A98" w:rsidRPr="00FD0A98" w:rsidRDefault="00FD0A98" w:rsidP="00FD0A98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FD0A98">
        <w:rPr>
          <w:rFonts w:ascii="Arial" w:hAnsi="Arial" w:cs="Arial"/>
          <w:b/>
          <w:bCs/>
        </w:rPr>
        <w:t>Stakeholder Coordination Framework</w:t>
      </w:r>
      <w:r w:rsidRPr="00FD0A98">
        <w:rPr>
          <w:rFonts w:ascii="Arial" w:hAnsi="Arial" w:cs="Arial"/>
        </w:rPr>
        <w:t xml:space="preserve"> </w:t>
      </w:r>
    </w:p>
    <w:p w14:paraId="15F395E1" w14:textId="77777777" w:rsidR="00FD0A98" w:rsidRPr="00FD0A98" w:rsidRDefault="00FD0A98" w:rsidP="00FD0A98">
      <w:pPr>
        <w:numPr>
          <w:ilvl w:val="1"/>
          <w:numId w:val="8"/>
        </w:numPr>
        <w:spacing w:line="360" w:lineRule="auto"/>
        <w:jc w:val="both"/>
        <w:rPr>
          <w:rFonts w:ascii="Arial" w:hAnsi="Arial" w:cs="Arial"/>
        </w:rPr>
      </w:pPr>
      <w:r w:rsidRPr="00FD0A98">
        <w:rPr>
          <w:rFonts w:ascii="Arial" w:hAnsi="Arial" w:cs="Arial"/>
        </w:rPr>
        <w:lastRenderedPageBreak/>
        <w:t>Clear delineation of roles and responsibilities across the public-private spectrum</w:t>
      </w:r>
    </w:p>
    <w:p w14:paraId="3CC98612" w14:textId="77777777" w:rsidR="00FD0A98" w:rsidRPr="00FD0A98" w:rsidRDefault="00FD0A98" w:rsidP="00FD0A98">
      <w:pPr>
        <w:numPr>
          <w:ilvl w:val="1"/>
          <w:numId w:val="8"/>
        </w:numPr>
        <w:spacing w:line="360" w:lineRule="auto"/>
        <w:jc w:val="both"/>
        <w:rPr>
          <w:rFonts w:ascii="Arial" w:hAnsi="Arial" w:cs="Arial"/>
        </w:rPr>
      </w:pPr>
      <w:r w:rsidRPr="00FD0A98">
        <w:rPr>
          <w:rFonts w:ascii="Arial" w:hAnsi="Arial" w:cs="Arial"/>
        </w:rPr>
        <w:t>Communication protocols for crisis situations</w:t>
      </w:r>
    </w:p>
    <w:p w14:paraId="1A293642" w14:textId="77777777" w:rsidR="00FD0A98" w:rsidRPr="00FD0A98" w:rsidRDefault="00FD0A98" w:rsidP="00FD0A98">
      <w:pPr>
        <w:numPr>
          <w:ilvl w:val="1"/>
          <w:numId w:val="8"/>
        </w:numPr>
        <w:spacing w:line="360" w:lineRule="auto"/>
        <w:jc w:val="both"/>
        <w:rPr>
          <w:rFonts w:ascii="Arial" w:hAnsi="Arial" w:cs="Arial"/>
        </w:rPr>
      </w:pPr>
      <w:r w:rsidRPr="00FD0A98">
        <w:rPr>
          <w:rFonts w:ascii="Arial" w:hAnsi="Arial" w:cs="Arial"/>
        </w:rPr>
        <w:t>Governance structures for multi-stakeholder collaboration</w:t>
      </w:r>
    </w:p>
    <w:p w14:paraId="3A135406" w14:textId="77777777" w:rsidR="00FD0A98" w:rsidRPr="00FD0A98" w:rsidRDefault="00FD0A98" w:rsidP="00FD0A98">
      <w:pPr>
        <w:spacing w:line="360" w:lineRule="auto"/>
        <w:jc w:val="both"/>
        <w:rPr>
          <w:rFonts w:ascii="Arial" w:hAnsi="Arial" w:cs="Arial"/>
          <w:b/>
          <w:bCs/>
        </w:rPr>
      </w:pPr>
      <w:r w:rsidRPr="00FD0A98">
        <w:rPr>
          <w:rFonts w:ascii="Arial" w:hAnsi="Arial" w:cs="Arial"/>
          <w:b/>
          <w:bCs/>
        </w:rPr>
        <w:t>Implementation Components</w:t>
      </w:r>
    </w:p>
    <w:p w14:paraId="128B400D" w14:textId="77777777" w:rsidR="00FD0A98" w:rsidRPr="00FD0A98" w:rsidRDefault="00FD0A98" w:rsidP="00FD0A98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FD0A98">
        <w:rPr>
          <w:rFonts w:ascii="Arial" w:hAnsi="Arial" w:cs="Arial"/>
          <w:b/>
          <w:bCs/>
        </w:rPr>
        <w:t>Implementation Toolkit</w:t>
      </w:r>
      <w:r w:rsidRPr="00FD0A98">
        <w:rPr>
          <w:rFonts w:ascii="Arial" w:hAnsi="Arial" w:cs="Arial"/>
        </w:rPr>
        <w:t xml:space="preserve"> </w:t>
      </w:r>
    </w:p>
    <w:p w14:paraId="0324EC59" w14:textId="77777777" w:rsidR="00FD0A98" w:rsidRPr="00FD0A98" w:rsidRDefault="00FD0A98" w:rsidP="00FD0A98">
      <w:pPr>
        <w:numPr>
          <w:ilvl w:val="1"/>
          <w:numId w:val="9"/>
        </w:numPr>
        <w:spacing w:line="360" w:lineRule="auto"/>
        <w:jc w:val="both"/>
        <w:rPr>
          <w:rFonts w:ascii="Arial" w:hAnsi="Arial" w:cs="Arial"/>
        </w:rPr>
      </w:pPr>
      <w:r w:rsidRPr="00FD0A98">
        <w:rPr>
          <w:rFonts w:ascii="Arial" w:hAnsi="Arial" w:cs="Arial"/>
        </w:rPr>
        <w:t>Practical tools and templates to operationalize the blueprint</w:t>
      </w:r>
    </w:p>
    <w:p w14:paraId="3A8BB998" w14:textId="77777777" w:rsidR="00FD0A98" w:rsidRPr="00FD0A98" w:rsidRDefault="00FD0A98" w:rsidP="00FD0A98">
      <w:pPr>
        <w:numPr>
          <w:ilvl w:val="1"/>
          <w:numId w:val="9"/>
        </w:numPr>
        <w:spacing w:line="360" w:lineRule="auto"/>
        <w:jc w:val="both"/>
        <w:rPr>
          <w:rFonts w:ascii="Arial" w:hAnsi="Arial" w:cs="Arial"/>
        </w:rPr>
      </w:pPr>
      <w:r w:rsidRPr="00FD0A98">
        <w:rPr>
          <w:rFonts w:ascii="Arial" w:hAnsi="Arial" w:cs="Arial"/>
        </w:rPr>
        <w:t>Checklists and decision support tools for risk assessment and response</w:t>
      </w:r>
    </w:p>
    <w:p w14:paraId="1D5BDCF5" w14:textId="77777777" w:rsidR="00FD0A98" w:rsidRPr="00FD0A98" w:rsidRDefault="00FD0A98" w:rsidP="00FD0A98">
      <w:pPr>
        <w:numPr>
          <w:ilvl w:val="1"/>
          <w:numId w:val="9"/>
        </w:numPr>
        <w:spacing w:line="360" w:lineRule="auto"/>
        <w:jc w:val="both"/>
        <w:rPr>
          <w:rFonts w:ascii="Arial" w:hAnsi="Arial" w:cs="Arial"/>
        </w:rPr>
      </w:pPr>
      <w:r w:rsidRPr="00FD0A98">
        <w:rPr>
          <w:rFonts w:ascii="Arial" w:hAnsi="Arial" w:cs="Arial"/>
        </w:rPr>
        <w:t>Simulation exercises to test and refine procedures</w:t>
      </w:r>
    </w:p>
    <w:p w14:paraId="68385A39" w14:textId="77777777" w:rsidR="00FD0A98" w:rsidRPr="00FD0A98" w:rsidRDefault="00FD0A98" w:rsidP="00FD0A98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FD0A98">
        <w:rPr>
          <w:rFonts w:ascii="Arial" w:hAnsi="Arial" w:cs="Arial"/>
          <w:b/>
          <w:bCs/>
        </w:rPr>
        <w:t>Tailored Guidance by Stakeholder Type</w:t>
      </w:r>
      <w:r w:rsidRPr="00FD0A98">
        <w:rPr>
          <w:rFonts w:ascii="Arial" w:hAnsi="Arial" w:cs="Arial"/>
        </w:rPr>
        <w:t xml:space="preserve"> </w:t>
      </w:r>
    </w:p>
    <w:p w14:paraId="54EA37E3" w14:textId="77777777" w:rsidR="00FD0A98" w:rsidRPr="00FD0A98" w:rsidRDefault="00FD0A98" w:rsidP="00FD0A98">
      <w:pPr>
        <w:numPr>
          <w:ilvl w:val="1"/>
          <w:numId w:val="10"/>
        </w:numPr>
        <w:spacing w:line="360" w:lineRule="auto"/>
        <w:jc w:val="both"/>
        <w:rPr>
          <w:rFonts w:ascii="Arial" w:hAnsi="Arial" w:cs="Arial"/>
        </w:rPr>
      </w:pPr>
      <w:r w:rsidRPr="00FD0A98">
        <w:rPr>
          <w:rFonts w:ascii="Arial" w:hAnsi="Arial" w:cs="Arial"/>
        </w:rPr>
        <w:t>Specific protocols for different actors (food producers, authorities, first responders)</w:t>
      </w:r>
    </w:p>
    <w:p w14:paraId="386EF0FB" w14:textId="77777777" w:rsidR="00FD0A98" w:rsidRPr="00FD0A98" w:rsidRDefault="00FD0A98" w:rsidP="00FD0A98">
      <w:pPr>
        <w:numPr>
          <w:ilvl w:val="1"/>
          <w:numId w:val="10"/>
        </w:numPr>
        <w:spacing w:line="360" w:lineRule="auto"/>
        <w:jc w:val="both"/>
        <w:rPr>
          <w:rFonts w:ascii="Arial" w:hAnsi="Arial" w:cs="Arial"/>
        </w:rPr>
      </w:pPr>
      <w:r w:rsidRPr="00FD0A98">
        <w:rPr>
          <w:rFonts w:ascii="Arial" w:hAnsi="Arial" w:cs="Arial"/>
        </w:rPr>
        <w:t>Customized approaches for the three use cases (cereal, shellfish, water)</w:t>
      </w:r>
    </w:p>
    <w:p w14:paraId="131FAE25" w14:textId="77777777" w:rsidR="00FD0A98" w:rsidRPr="00FD0A98" w:rsidRDefault="00FD0A98" w:rsidP="00FD0A98">
      <w:pPr>
        <w:numPr>
          <w:ilvl w:val="1"/>
          <w:numId w:val="10"/>
        </w:numPr>
        <w:spacing w:line="360" w:lineRule="auto"/>
        <w:jc w:val="both"/>
        <w:rPr>
          <w:rFonts w:ascii="Arial" w:hAnsi="Arial" w:cs="Arial"/>
        </w:rPr>
      </w:pPr>
      <w:r w:rsidRPr="00FD0A98">
        <w:rPr>
          <w:rFonts w:ascii="Arial" w:hAnsi="Arial" w:cs="Arial"/>
        </w:rPr>
        <w:t>Scalable frameworks that can be adapted to different organizational sizes and capacities</w:t>
      </w:r>
    </w:p>
    <w:p w14:paraId="41687691" w14:textId="77777777" w:rsidR="00FD0A98" w:rsidRPr="00FD0A98" w:rsidRDefault="00FD0A98" w:rsidP="00FD0A98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FD0A98">
        <w:rPr>
          <w:rFonts w:ascii="Arial" w:hAnsi="Arial" w:cs="Arial"/>
          <w:b/>
          <w:bCs/>
        </w:rPr>
        <w:t>Integration with Existing Systems</w:t>
      </w:r>
      <w:r w:rsidRPr="00FD0A98">
        <w:rPr>
          <w:rFonts w:ascii="Arial" w:hAnsi="Arial" w:cs="Arial"/>
        </w:rPr>
        <w:t xml:space="preserve"> </w:t>
      </w:r>
    </w:p>
    <w:p w14:paraId="5F996A32" w14:textId="77777777" w:rsidR="00FD0A98" w:rsidRPr="00FD0A98" w:rsidRDefault="00FD0A98" w:rsidP="00FD0A98">
      <w:pPr>
        <w:numPr>
          <w:ilvl w:val="1"/>
          <w:numId w:val="11"/>
        </w:numPr>
        <w:spacing w:line="360" w:lineRule="auto"/>
        <w:jc w:val="both"/>
        <w:rPr>
          <w:rFonts w:ascii="Arial" w:hAnsi="Arial" w:cs="Arial"/>
        </w:rPr>
      </w:pPr>
      <w:r w:rsidRPr="00FD0A98">
        <w:rPr>
          <w:rFonts w:ascii="Arial" w:hAnsi="Arial" w:cs="Arial"/>
        </w:rPr>
        <w:t>Alignment with established food safety frameworks (HACCP, TACCP, VACCP)</w:t>
      </w:r>
    </w:p>
    <w:p w14:paraId="1B8BF1FC" w14:textId="77777777" w:rsidR="00FD0A98" w:rsidRPr="00FD0A98" w:rsidRDefault="00FD0A98" w:rsidP="00FD0A98">
      <w:pPr>
        <w:numPr>
          <w:ilvl w:val="1"/>
          <w:numId w:val="11"/>
        </w:numPr>
        <w:spacing w:line="360" w:lineRule="auto"/>
        <w:jc w:val="both"/>
        <w:rPr>
          <w:rFonts w:ascii="Arial" w:hAnsi="Arial" w:cs="Arial"/>
        </w:rPr>
      </w:pPr>
      <w:r w:rsidRPr="00FD0A98">
        <w:rPr>
          <w:rFonts w:ascii="Arial" w:hAnsi="Arial" w:cs="Arial"/>
        </w:rPr>
        <w:t>Connections to regulatory requirements and industry standards</w:t>
      </w:r>
    </w:p>
    <w:p w14:paraId="62CF00A6" w14:textId="77777777" w:rsidR="00FD0A98" w:rsidRPr="00FD0A98" w:rsidRDefault="00FD0A98" w:rsidP="00FD0A98">
      <w:pPr>
        <w:numPr>
          <w:ilvl w:val="1"/>
          <w:numId w:val="11"/>
        </w:numPr>
        <w:spacing w:line="360" w:lineRule="auto"/>
        <w:jc w:val="both"/>
        <w:rPr>
          <w:rFonts w:ascii="Arial" w:hAnsi="Arial" w:cs="Arial"/>
        </w:rPr>
      </w:pPr>
      <w:r w:rsidRPr="00FD0A98">
        <w:rPr>
          <w:rFonts w:ascii="Arial" w:hAnsi="Arial" w:cs="Arial"/>
        </w:rPr>
        <w:t>Interoperability with existing crisis management systems</w:t>
      </w:r>
    </w:p>
    <w:p w14:paraId="3A58D1AC" w14:textId="77777777" w:rsidR="00FD0A98" w:rsidRPr="00FD0A98" w:rsidRDefault="00FD0A98" w:rsidP="00FD0A98">
      <w:pPr>
        <w:spacing w:line="360" w:lineRule="auto"/>
        <w:jc w:val="both"/>
        <w:rPr>
          <w:rFonts w:ascii="Arial" w:hAnsi="Arial" w:cs="Arial"/>
          <w:b/>
          <w:bCs/>
        </w:rPr>
      </w:pPr>
      <w:r w:rsidRPr="00FD0A98">
        <w:rPr>
          <w:rFonts w:ascii="Arial" w:hAnsi="Arial" w:cs="Arial"/>
          <w:b/>
          <w:bCs/>
        </w:rPr>
        <w:t>Validation and Refinement Mechanisms</w:t>
      </w:r>
    </w:p>
    <w:p w14:paraId="7C708680" w14:textId="77777777" w:rsidR="00FD0A98" w:rsidRPr="00FD0A98" w:rsidRDefault="00FD0A98" w:rsidP="00FD0A98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FD0A98">
        <w:rPr>
          <w:rFonts w:ascii="Arial" w:hAnsi="Arial" w:cs="Arial"/>
          <w:b/>
          <w:bCs/>
        </w:rPr>
        <w:t>Stress Testing Methodology</w:t>
      </w:r>
      <w:r w:rsidRPr="00FD0A98">
        <w:rPr>
          <w:rFonts w:ascii="Arial" w:hAnsi="Arial" w:cs="Arial"/>
        </w:rPr>
        <w:t xml:space="preserve"> </w:t>
      </w:r>
    </w:p>
    <w:p w14:paraId="03E4E699" w14:textId="77777777" w:rsidR="00FD0A98" w:rsidRPr="00FD0A98" w:rsidRDefault="00FD0A98" w:rsidP="00FD0A98">
      <w:pPr>
        <w:numPr>
          <w:ilvl w:val="1"/>
          <w:numId w:val="12"/>
        </w:numPr>
        <w:spacing w:line="360" w:lineRule="auto"/>
        <w:jc w:val="both"/>
        <w:rPr>
          <w:rFonts w:ascii="Arial" w:hAnsi="Arial" w:cs="Arial"/>
        </w:rPr>
      </w:pPr>
      <w:r w:rsidRPr="00FD0A98">
        <w:rPr>
          <w:rFonts w:ascii="Arial" w:hAnsi="Arial" w:cs="Arial"/>
        </w:rPr>
        <w:t>Scenario-based testing to evaluate blueprint effectiveness</w:t>
      </w:r>
    </w:p>
    <w:p w14:paraId="7F6F2610" w14:textId="77777777" w:rsidR="00FD0A98" w:rsidRPr="00FD0A98" w:rsidRDefault="00FD0A98" w:rsidP="00FD0A98">
      <w:pPr>
        <w:numPr>
          <w:ilvl w:val="1"/>
          <w:numId w:val="12"/>
        </w:numPr>
        <w:spacing w:line="360" w:lineRule="auto"/>
        <w:jc w:val="both"/>
        <w:rPr>
          <w:rFonts w:ascii="Arial" w:hAnsi="Arial" w:cs="Arial"/>
        </w:rPr>
      </w:pPr>
      <w:r w:rsidRPr="00FD0A98">
        <w:rPr>
          <w:rFonts w:ascii="Arial" w:hAnsi="Arial" w:cs="Arial"/>
        </w:rPr>
        <w:t>Protocols for assessing response quality across various threat scenarios</w:t>
      </w:r>
    </w:p>
    <w:p w14:paraId="661433A3" w14:textId="77777777" w:rsidR="00FD0A98" w:rsidRPr="00FD0A98" w:rsidRDefault="00FD0A98" w:rsidP="00FD0A98">
      <w:pPr>
        <w:numPr>
          <w:ilvl w:val="1"/>
          <w:numId w:val="12"/>
        </w:numPr>
        <w:spacing w:line="360" w:lineRule="auto"/>
        <w:jc w:val="both"/>
        <w:rPr>
          <w:rFonts w:ascii="Arial" w:hAnsi="Arial" w:cs="Arial"/>
        </w:rPr>
      </w:pPr>
      <w:r w:rsidRPr="00FD0A98">
        <w:rPr>
          <w:rFonts w:ascii="Arial" w:hAnsi="Arial" w:cs="Arial"/>
        </w:rPr>
        <w:lastRenderedPageBreak/>
        <w:t>Feedback mechanisms to continuously improve the blueprint</w:t>
      </w:r>
    </w:p>
    <w:p w14:paraId="300DEFEC" w14:textId="77777777" w:rsidR="00FD0A98" w:rsidRPr="00FD0A98" w:rsidRDefault="00FD0A98" w:rsidP="00FD0A98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FD0A98">
        <w:rPr>
          <w:rFonts w:ascii="Arial" w:hAnsi="Arial" w:cs="Arial"/>
          <w:b/>
          <w:bCs/>
        </w:rPr>
        <w:t>Performance Metrics</w:t>
      </w:r>
      <w:r w:rsidRPr="00FD0A98">
        <w:rPr>
          <w:rFonts w:ascii="Arial" w:hAnsi="Arial" w:cs="Arial"/>
        </w:rPr>
        <w:t xml:space="preserve"> </w:t>
      </w:r>
    </w:p>
    <w:p w14:paraId="21BA064E" w14:textId="77777777" w:rsidR="00FD0A98" w:rsidRPr="00FD0A98" w:rsidRDefault="00FD0A98" w:rsidP="00FD0A98">
      <w:pPr>
        <w:numPr>
          <w:ilvl w:val="1"/>
          <w:numId w:val="13"/>
        </w:numPr>
        <w:spacing w:line="360" w:lineRule="auto"/>
        <w:jc w:val="both"/>
        <w:rPr>
          <w:rFonts w:ascii="Arial" w:hAnsi="Arial" w:cs="Arial"/>
        </w:rPr>
      </w:pPr>
      <w:r w:rsidRPr="00FD0A98">
        <w:rPr>
          <w:rFonts w:ascii="Arial" w:hAnsi="Arial" w:cs="Arial"/>
        </w:rPr>
        <w:t>KPIs to measure effectiveness of blueprint implementation</w:t>
      </w:r>
    </w:p>
    <w:p w14:paraId="7890A271" w14:textId="77777777" w:rsidR="00FD0A98" w:rsidRPr="00FD0A98" w:rsidRDefault="00FD0A98" w:rsidP="00FD0A98">
      <w:pPr>
        <w:numPr>
          <w:ilvl w:val="1"/>
          <w:numId w:val="13"/>
        </w:numPr>
        <w:spacing w:line="360" w:lineRule="auto"/>
        <w:jc w:val="both"/>
        <w:rPr>
          <w:rFonts w:ascii="Arial" w:hAnsi="Arial" w:cs="Arial"/>
        </w:rPr>
      </w:pPr>
      <w:r w:rsidRPr="00FD0A98">
        <w:rPr>
          <w:rFonts w:ascii="Arial" w:hAnsi="Arial" w:cs="Arial"/>
        </w:rPr>
        <w:t>Benchmarks for evaluating improvement in threat response</w:t>
      </w:r>
    </w:p>
    <w:p w14:paraId="5FB4CD86" w14:textId="77777777" w:rsidR="00FD0A98" w:rsidRPr="00FD0A98" w:rsidRDefault="00FD0A98" w:rsidP="00FD0A98">
      <w:pPr>
        <w:numPr>
          <w:ilvl w:val="1"/>
          <w:numId w:val="13"/>
        </w:numPr>
        <w:spacing w:line="360" w:lineRule="auto"/>
        <w:jc w:val="both"/>
        <w:rPr>
          <w:rFonts w:ascii="Arial" w:hAnsi="Arial" w:cs="Arial"/>
        </w:rPr>
      </w:pPr>
      <w:r w:rsidRPr="00FD0A98">
        <w:rPr>
          <w:rFonts w:ascii="Arial" w:hAnsi="Arial" w:cs="Arial"/>
        </w:rPr>
        <w:t>Assessment tools for organizational readiness</w:t>
      </w:r>
    </w:p>
    <w:p w14:paraId="363D6CEA" w14:textId="77777777" w:rsidR="00FD0A98" w:rsidRPr="00FD0A98" w:rsidRDefault="00FD0A98" w:rsidP="00FD0A98">
      <w:pPr>
        <w:spacing w:line="360" w:lineRule="auto"/>
        <w:jc w:val="both"/>
        <w:rPr>
          <w:rFonts w:ascii="Arial" w:hAnsi="Arial" w:cs="Arial"/>
        </w:rPr>
      </w:pPr>
      <w:r w:rsidRPr="00FD0A98">
        <w:rPr>
          <w:rFonts w:ascii="Arial" w:hAnsi="Arial" w:cs="Arial"/>
        </w:rPr>
        <w:t>The blueprint should be designed as a living document that can evolve based on new threats, technologies, and lessons learned. It will serve as the foundation for the AI-enabled knowledge platform and training tools being developed in other tasks within WP5.</w:t>
      </w:r>
    </w:p>
    <w:p w14:paraId="004364C2" w14:textId="77777777" w:rsidR="00FD0A98" w:rsidRPr="00FD0A98" w:rsidRDefault="00FD0A98" w:rsidP="00FD0A98">
      <w:pPr>
        <w:spacing w:line="360" w:lineRule="auto"/>
        <w:jc w:val="both"/>
        <w:rPr>
          <w:rFonts w:ascii="Arial" w:hAnsi="Arial" w:cs="Arial"/>
        </w:rPr>
      </w:pPr>
    </w:p>
    <w:sectPr w:rsidR="00FD0A98" w:rsidRPr="00FD0A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82C26"/>
    <w:multiLevelType w:val="multilevel"/>
    <w:tmpl w:val="5FEEA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3D4847"/>
    <w:multiLevelType w:val="multilevel"/>
    <w:tmpl w:val="324E4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A4223C"/>
    <w:multiLevelType w:val="multilevel"/>
    <w:tmpl w:val="EEEA2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8E5289"/>
    <w:multiLevelType w:val="multilevel"/>
    <w:tmpl w:val="1630A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013153"/>
    <w:multiLevelType w:val="multilevel"/>
    <w:tmpl w:val="D736F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4B26C5"/>
    <w:multiLevelType w:val="multilevel"/>
    <w:tmpl w:val="0B262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A520E3"/>
    <w:multiLevelType w:val="multilevel"/>
    <w:tmpl w:val="862C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CF416F"/>
    <w:multiLevelType w:val="multilevel"/>
    <w:tmpl w:val="D9149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054707"/>
    <w:multiLevelType w:val="multilevel"/>
    <w:tmpl w:val="E5E04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0125F0"/>
    <w:multiLevelType w:val="multilevel"/>
    <w:tmpl w:val="1CECF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32169B"/>
    <w:multiLevelType w:val="multilevel"/>
    <w:tmpl w:val="04FC9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460736"/>
    <w:multiLevelType w:val="multilevel"/>
    <w:tmpl w:val="1E52A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833755"/>
    <w:multiLevelType w:val="multilevel"/>
    <w:tmpl w:val="D00AC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1431744">
    <w:abstractNumId w:val="12"/>
  </w:num>
  <w:num w:numId="2" w16cid:durableId="1228954558">
    <w:abstractNumId w:val="3"/>
  </w:num>
  <w:num w:numId="3" w16cid:durableId="30768600">
    <w:abstractNumId w:val="5"/>
  </w:num>
  <w:num w:numId="4" w16cid:durableId="1537352257">
    <w:abstractNumId w:val="6"/>
  </w:num>
  <w:num w:numId="5" w16cid:durableId="486626846">
    <w:abstractNumId w:val="9"/>
  </w:num>
  <w:num w:numId="6" w16cid:durableId="165050539">
    <w:abstractNumId w:val="2"/>
  </w:num>
  <w:num w:numId="7" w16cid:durableId="476537792">
    <w:abstractNumId w:val="1"/>
  </w:num>
  <w:num w:numId="8" w16cid:durableId="20209032">
    <w:abstractNumId w:val="4"/>
  </w:num>
  <w:num w:numId="9" w16cid:durableId="182062603">
    <w:abstractNumId w:val="7"/>
  </w:num>
  <w:num w:numId="10" w16cid:durableId="1553737723">
    <w:abstractNumId w:val="10"/>
  </w:num>
  <w:num w:numId="11" w16cid:durableId="184364571">
    <w:abstractNumId w:val="8"/>
  </w:num>
  <w:num w:numId="12" w16cid:durableId="1456866941">
    <w:abstractNumId w:val="11"/>
  </w:num>
  <w:num w:numId="13" w16cid:durableId="2054570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A98"/>
    <w:rsid w:val="00522A2A"/>
    <w:rsid w:val="00FD0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0BCF9"/>
  <w15:chartTrackingRefBased/>
  <w15:docId w15:val="{8B712E5B-620F-46AE-A7CC-5C2122E53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A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A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A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A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A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A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A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A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A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A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A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11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415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Amankrah Kwofie</dc:creator>
  <cp:keywords/>
  <dc:description/>
  <cp:lastModifiedBy>Emmanuel Amankrah Kwofie</cp:lastModifiedBy>
  <cp:revision>1</cp:revision>
  <dcterms:created xsi:type="dcterms:W3CDTF">2025-04-14T04:50:00Z</dcterms:created>
  <dcterms:modified xsi:type="dcterms:W3CDTF">2025-04-14T04:52:00Z</dcterms:modified>
</cp:coreProperties>
</file>