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B3A5C"/>
          <w:sz w:val="56"/>
          <w:szCs w:val="56"/>
        </w:rPr>
        <w:t xml:space="preserve">MATHEMATICAL FRAMEWORK</w:t>
      </w:r>
    </w:p>
    <w:p>
      <w:pPr>
        <w:spacing w:after="60"/>
        <w:jc w:val="center"/>
      </w:pPr>
      <w:r>
        <w:rPr>
          <w:rFonts w:ascii="Arial" w:cs="Arial" w:eastAsia="Arial" w:hAnsi="Arial"/>
          <w:color w:val="666666"/>
          <w:sz w:val="24"/>
          <w:szCs w:val="24"/>
        </w:rPr>
        <w:t xml:space="preserve">FOR THE</w:t>
      </w:r>
    </w:p>
    <w:p>
      <w:pPr>
        <w:spacing w:after="300"/>
        <w:jc w:val="center"/>
      </w:pPr>
      <w:r>
        <w:rPr>
          <w:rFonts w:ascii="Arial" w:cs="Arial" w:eastAsia="Arial" w:hAnsi="Arial"/>
          <w:b/>
          <w:bCs/>
          <w:color w:val="2E75B6"/>
          <w:sz w:val="30"/>
          <w:szCs w:val="30"/>
        </w:rPr>
        <w:t xml:space="preserve">EU FOOD FRAUD VULNERABILITY INTELLIGENCE SYSTEM</w:t>
      </w:r>
    </w:p>
    <w:p>
      <w:pPr>
        <w:pBdr>
          <w:top w:val="single" w:color="E87722" w:sz="6" w:space="12"/>
        </w:pBdr>
        <w:spacing w:after="120" w:before="200"/>
        <w:jc w:val="center"/>
      </w:pPr>
      <w:r>
        <w:rPr>
          <w:rFonts w:ascii="Arial" w:cs="Arial" w:eastAsia="Arial" w:hAnsi="Arial"/>
          <w:i/>
          <w:iCs/>
          <w:color w:val="555555"/>
          <w:sz w:val="22"/>
          <w:szCs w:val="22"/>
        </w:rPr>
        <w:t xml:space="preserve">Quantitative Models for Commodity Dependency,</w:t>
      </w:r>
    </w:p>
    <w:p>
      <w:pPr>
        <w:spacing w:after="120"/>
        <w:jc w:val="center"/>
      </w:pPr>
      <w:r>
        <w:rPr>
          <w:rFonts w:ascii="Arial" w:cs="Arial" w:eastAsia="Arial" w:hAnsi="Arial"/>
          <w:i/>
          <w:iCs/>
          <w:color w:val="555555"/>
          <w:sz w:val="22"/>
          <w:szCs w:val="22"/>
        </w:rPr>
        <w:t xml:space="preserve">Origin–Attention Country Trade Relationships,</w:t>
      </w:r>
    </w:p>
    <w:p>
      <w:pPr>
        <w:spacing w:after="300"/>
        <w:jc w:val="center"/>
      </w:pPr>
      <w:r>
        <w:rPr>
          <w:rFonts w:ascii="Arial" w:cs="Arial" w:eastAsia="Arial" w:hAnsi="Arial"/>
          <w:i/>
          <w:iCs/>
          <w:color w:val="555555"/>
          <w:sz w:val="22"/>
          <w:szCs w:val="22"/>
        </w:rPr>
        <w:t xml:space="preserve">and Hazard–Trade Corridor Integration</w:t>
      </w:r>
    </w:p>
    <w:p>
      <w:pPr>
        <w:spacing w:after="200"/>
      </w:pPr>
    </w:p>
    <w:p>
      <w:pPr>
        <w:spacing w:after="200"/>
      </w:pPr>
    </w:p>
    <w:p>
      <w:pPr>
        <w:spacing w:after="200"/>
      </w:pPr>
    </w:p>
    <w:p>
      <w:pPr>
        <w:spacing w:after="200"/>
      </w:pPr>
    </w:p>
    <w:p>
      <w:pPr>
        <w:spacing w:after="200"/>
      </w:pPr>
    </w:p>
    <w:p>
      <w:pPr>
        <w:spacing w:after="200"/>
      </w:pPr>
    </w:p>
    <w:p>
      <w:pPr>
        <w:spacing w:after="60"/>
        <w:jc w:val="center"/>
      </w:pPr>
      <w:r>
        <w:rPr>
          <w:rFonts w:ascii="Arial" w:cs="Arial" w:eastAsia="Arial" w:hAnsi="Arial"/>
          <w:color w:val="999999"/>
          <w:sz w:val="20"/>
          <w:szCs w:val="20"/>
        </w:rPr>
        <w:t xml:space="preserve">Version 1.0  |  February 2026  |  Working Draft</w:t>
      </w:r>
    </w:p>
    <w:p>
      <w:pPr>
        <w:sectPr>
          <w:pgSz w:w="11906" w:h="16838" w:orient="portrait"/>
          <w:pgMar w:top="1440" w:right="1440" w:bottom="1440" w:left="1440" w:header="708" w:footer="708" w:gutter="0"/>
          <w:pgNumType/>
          <w:docGrid w:linePitch="360"/>
        </w:sectPr>
      </w:pPr>
    </w:p>
    <w:p>
      <w:pPr>
        <w:pStyle w:val="Heading1"/>
      </w:pPr>
      <w:r>
        <w:t xml:space="preserve">1. Notation and Definitions</w:t>
      </w:r>
    </w:p>
    <w:p>
      <w:pPr>
        <w:spacing w:after="120"/>
      </w:pPr>
      <w:r>
        <w:t xml:space="preserve">All models in this framework use the following standard notation. Every variable is grounded in observable, collectible data from the sources you are working with: RASFF Window, UN Comtrade, FAOSTAT, and Eurostat.</w:t>
      </w:r>
    </w:p>
    <w:p>
      <w:pPr>
        <w:spacing w:after="200"/>
      </w:pPr>
    </w:p>
    <w:p>
      <w:pPr>
        <w:pStyle w:val="Heading2"/>
      </w:pPr>
      <w:r>
        <w:t xml:space="preserve">1.1 Index Sets</w:t>
      </w:r>
    </w:p>
    <w:p>
      <w:pPr>
        <w:spacing w:after="60"/>
        <w:ind w:left="1080"/>
      </w:pPr>
      <w:r>
        <w:rPr>
          <w:rFonts w:ascii="Courier New" w:cs="Courier New" w:eastAsia="Courier New" w:hAnsi="Courier New"/>
          <w:b/>
          <w:bCs/>
          <w:sz w:val="20"/>
          <w:szCs w:val="20"/>
        </w:rPr>
        <w:t xml:space="preserve">c ∈ C </w:t>
      </w:r>
      <w:r>
        <w:rPr>
          <w:sz w:val="20"/>
          <w:szCs w:val="20"/>
        </w:rPr>
        <w:t xml:space="preserve">= A commodity, identified by HS 6-digit code. C is the set of all commodities in scope.</w:t>
      </w:r>
    </w:p>
    <w:p>
      <w:pPr>
        <w:spacing w:after="60"/>
        <w:ind w:left="1080"/>
      </w:pPr>
      <w:r>
        <w:rPr>
          <w:rFonts w:ascii="Courier New" w:cs="Courier New" w:eastAsia="Courier New" w:hAnsi="Courier New"/>
          <w:b/>
          <w:bCs/>
          <w:sz w:val="20"/>
          <w:szCs w:val="20"/>
        </w:rPr>
        <w:t xml:space="preserve">i ∈ N </w:t>
      </w:r>
      <w:r>
        <w:rPr>
          <w:sz w:val="20"/>
          <w:szCs w:val="20"/>
        </w:rPr>
        <w:t xml:space="preserve">= A destination (importing) country. In RASFF terms: the notifying country or an attention/follow-up country. N is the set of all EU/EEA Member States.</w:t>
      </w:r>
    </w:p>
    <w:p>
      <w:pPr>
        <w:spacing w:after="60"/>
        <w:ind w:left="1080"/>
      </w:pPr>
      <w:r>
        <w:rPr>
          <w:rFonts w:ascii="Courier New" w:cs="Courier New" w:eastAsia="Courier New" w:hAnsi="Courier New"/>
          <w:b/>
          <w:bCs/>
          <w:sz w:val="20"/>
          <w:szCs w:val="20"/>
        </w:rPr>
        <w:t xml:space="preserve">j ∈ O </w:t>
      </w:r>
      <w:r>
        <w:rPr>
          <w:sz w:val="20"/>
          <w:szCs w:val="20"/>
        </w:rPr>
        <w:t xml:space="preserve">= An origin (exporting) country. O is the set of all countries that appear as origins in RASFF or as trade partners in Comtrade.</w:t>
      </w:r>
    </w:p>
    <w:p>
      <w:pPr>
        <w:spacing w:after="60"/>
        <w:ind w:left="1080"/>
      </w:pPr>
      <w:r>
        <w:rPr>
          <w:rFonts w:ascii="Courier New" w:cs="Courier New" w:eastAsia="Courier New" w:hAnsi="Courier New"/>
          <w:b/>
          <w:bCs/>
          <w:sz w:val="20"/>
          <w:szCs w:val="20"/>
        </w:rPr>
        <w:t xml:space="preserve">t ∈ T </w:t>
      </w:r>
      <w:r>
        <w:rPr>
          <w:sz w:val="20"/>
          <w:szCs w:val="20"/>
        </w:rPr>
        <w:t xml:space="preserve">= A time period (year, or year-month where monthly data is available).</w:t>
      </w:r>
    </w:p>
    <w:p>
      <w:pPr>
        <w:spacing w:after="60"/>
        <w:ind w:left="1080"/>
      </w:pPr>
      <w:r>
        <w:rPr>
          <w:rFonts w:ascii="Courier New" w:cs="Courier New" w:eastAsia="Courier New" w:hAnsi="Courier New"/>
          <w:b/>
          <w:bCs/>
          <w:sz w:val="20"/>
          <w:szCs w:val="20"/>
        </w:rPr>
        <w:t xml:space="preserve">h ∈ H </w:t>
      </w:r>
      <w:r>
        <w:rPr>
          <w:sz w:val="20"/>
          <w:szCs w:val="20"/>
        </w:rPr>
        <w:t xml:space="preserve">= A hazard type. H = {biological, chemical_pesticides, chemical_heavy_metals, chemical_mycotoxins, chemical_other, regulatory}.</w:t>
      </w:r>
    </w:p>
    <w:p>
      <w:pPr>
        <w:spacing w:after="200"/>
      </w:pPr>
    </w:p>
    <w:p>
      <w:pPr>
        <w:pStyle w:val="Heading2"/>
      </w:pPr>
      <w:r>
        <w:t xml:space="preserve">1.2 Primary Data Variables</w:t>
      </w:r>
    </w:p>
    <w:p>
      <w:pPr>
        <w:spacing w:after="120"/>
      </w:pPr>
      <w:r>
        <w:rPr>
          <w:b/>
          <w:bCs/>
        </w:rPr>
        <w:t xml:space="preserve">From UN Comtrade:</w:t>
      </w:r>
    </w:p>
    <w:p>
      <w:pPr>
        <w:spacing w:after="60"/>
        <w:ind w:left="1080"/>
      </w:pPr>
      <w:r>
        <w:rPr>
          <w:rFonts w:ascii="Courier New" w:cs="Courier New" w:eastAsia="Courier New" w:hAnsi="Courier New"/>
          <w:b/>
          <w:bCs/>
          <w:sz w:val="20"/>
          <w:szCs w:val="20"/>
        </w:rPr>
        <w:t xml:space="preserve">M(c,i,j,t) </w:t>
      </w:r>
      <w:r>
        <w:rPr>
          <w:sz w:val="20"/>
          <w:szCs w:val="20"/>
        </w:rPr>
        <w:t xml:space="preserve">= Import quantity (kg) of commodity c by country i from origin j in period t</w:t>
      </w:r>
    </w:p>
    <w:p>
      <w:pPr>
        <w:spacing w:after="60"/>
        <w:ind w:left="1080"/>
      </w:pPr>
      <w:r>
        <w:rPr>
          <w:rFonts w:ascii="Courier New" w:cs="Courier New" w:eastAsia="Courier New" w:hAnsi="Courier New"/>
          <w:b/>
          <w:bCs/>
          <w:sz w:val="20"/>
          <w:szCs w:val="20"/>
        </w:rPr>
        <w:t xml:space="preserve">V(c,i,j,t) </w:t>
      </w:r>
      <w:r>
        <w:rPr>
          <w:sz w:val="20"/>
          <w:szCs w:val="20"/>
        </w:rPr>
        <w:t xml:space="preserve">= Import value (USD) of commodity c by country i from origin j in period t</w:t>
      </w:r>
    </w:p>
    <w:p>
      <w:pPr>
        <w:spacing w:after="60"/>
        <w:ind w:left="1080"/>
      </w:pPr>
      <w:r>
        <w:rPr>
          <w:rFonts w:ascii="Courier New" w:cs="Courier New" w:eastAsia="Courier New" w:hAnsi="Courier New"/>
          <w:b/>
          <w:bCs/>
          <w:sz w:val="20"/>
          <w:szCs w:val="20"/>
        </w:rPr>
        <w:t xml:space="preserve">M(c,i,*,t) </w:t>
      </w:r>
      <w:r>
        <w:rPr>
          <w:sz w:val="20"/>
          <w:szCs w:val="20"/>
        </w:rPr>
        <w:t xml:space="preserve">= Total imports of commodity c by country i from all origins: Σ_j M(c,i,j,t)</w:t>
      </w:r>
    </w:p>
    <w:p>
      <w:pPr>
        <w:spacing w:after="60"/>
        <w:ind w:left="1080"/>
      </w:pPr>
      <w:r>
        <w:rPr>
          <w:rFonts w:ascii="Courier New" w:cs="Courier New" w:eastAsia="Courier New" w:hAnsi="Courier New"/>
          <w:b/>
          <w:bCs/>
          <w:sz w:val="20"/>
          <w:szCs w:val="20"/>
        </w:rPr>
        <w:t xml:space="preserve">X(c,j,*,t) </w:t>
      </w:r>
      <w:r>
        <w:rPr>
          <w:sz w:val="20"/>
          <w:szCs w:val="20"/>
        </w:rPr>
        <w:t xml:space="preserve">= Total exports of commodity c from origin j to all destinations: Σ_i M(c,i,j,t)</w:t>
      </w:r>
    </w:p>
    <w:p>
      <w:pPr>
        <w:spacing w:after="200"/>
      </w:pPr>
    </w:p>
    <w:p>
      <w:pPr>
        <w:spacing w:after="120"/>
      </w:pPr>
      <w:r>
        <w:rPr>
          <w:b/>
          <w:bCs/>
        </w:rPr>
        <w:t xml:space="preserve">From FAOSTAT / Eurostat:</w:t>
      </w:r>
    </w:p>
    <w:p>
      <w:pPr>
        <w:spacing w:after="60"/>
        <w:ind w:left="1080"/>
      </w:pPr>
      <w:r>
        <w:rPr>
          <w:rFonts w:ascii="Courier New" w:cs="Courier New" w:eastAsia="Courier New" w:hAnsi="Courier New"/>
          <w:b/>
          <w:bCs/>
          <w:sz w:val="20"/>
          <w:szCs w:val="20"/>
        </w:rPr>
        <w:t xml:space="preserve">P(c,i,t) </w:t>
      </w:r>
      <w:r>
        <w:rPr>
          <w:sz w:val="20"/>
          <w:szCs w:val="20"/>
        </w:rPr>
        <w:t xml:space="preserve">= Domestic production quantity (kg) of commodity c in country i in period t</w:t>
      </w:r>
    </w:p>
    <w:p>
      <w:pPr>
        <w:spacing w:after="60"/>
        <w:ind w:left="1080"/>
      </w:pPr>
      <w:r>
        <w:rPr>
          <w:rFonts w:ascii="Courier New" w:cs="Courier New" w:eastAsia="Courier New" w:hAnsi="Courier New"/>
          <w:b/>
          <w:bCs/>
          <w:sz w:val="20"/>
          <w:szCs w:val="20"/>
        </w:rPr>
        <w:t xml:space="preserve">D(c,i,t) </w:t>
      </w:r>
      <w:r>
        <w:rPr>
          <w:sz w:val="20"/>
          <w:szCs w:val="20"/>
        </w:rPr>
        <w:t xml:space="preserve">= Domestic supply for food use (apparent consumption) of commodity c in country i in period t</w:t>
      </w:r>
    </w:p>
    <w:p>
      <w:pPr>
        <w:spacing w:after="60"/>
        <w:ind w:left="1080"/>
      </w:pPr>
      <w:r>
        <w:rPr>
          <w:rFonts w:ascii="Courier New" w:cs="Courier New" w:eastAsia="Courier New" w:hAnsi="Courier New"/>
          <w:b/>
          <w:bCs/>
          <w:sz w:val="20"/>
          <w:szCs w:val="20"/>
        </w:rPr>
        <w:t xml:space="preserve">Pop(i,t) </w:t>
      </w:r>
      <w:r>
        <w:rPr>
          <w:sz w:val="20"/>
          <w:szCs w:val="20"/>
        </w:rPr>
        <w:t xml:space="preserve">= Population of country i in period t</w:t>
      </w:r>
    </w:p>
    <w:p>
      <w:pPr>
        <w:spacing w:after="200"/>
      </w:pPr>
    </w:p>
    <w:p>
      <w:pPr>
        <w:spacing w:after="120"/>
      </w:pPr>
      <w:r>
        <w:rPr>
          <w:b/>
          <w:bCs/>
        </w:rPr>
        <w:t xml:space="preserve">From RASFF Window:</w:t>
      </w:r>
    </w:p>
    <w:p>
      <w:pPr>
        <w:spacing w:after="60"/>
        <w:ind w:left="1080"/>
      </w:pPr>
      <w:r>
        <w:rPr>
          <w:rFonts w:ascii="Courier New" w:cs="Courier New" w:eastAsia="Courier New" w:hAnsi="Courier New"/>
          <w:b/>
          <w:bCs/>
          <w:sz w:val="20"/>
          <w:szCs w:val="20"/>
        </w:rPr>
        <w:t xml:space="preserve">R(c,i,j,t) </w:t>
      </w:r>
      <w:r>
        <w:rPr>
          <w:sz w:val="20"/>
          <w:szCs w:val="20"/>
        </w:rPr>
        <w:t xml:space="preserve">= Count of RASFF notifications for commodity c involving origin j where country i is notifier, attention, or follow-up country, in period t</w:t>
      </w:r>
    </w:p>
    <w:p>
      <w:pPr>
        <w:spacing w:after="60"/>
        <w:ind w:left="1080"/>
      </w:pPr>
      <w:r>
        <w:rPr>
          <w:rFonts w:ascii="Courier New" w:cs="Courier New" w:eastAsia="Courier New" w:hAnsi="Courier New"/>
          <w:b/>
          <w:bCs/>
          <w:sz w:val="20"/>
          <w:szCs w:val="20"/>
        </w:rPr>
        <w:t xml:space="preserve">R_h(c,i,j,t) </w:t>
      </w:r>
      <w:r>
        <w:rPr>
          <w:sz w:val="20"/>
          <w:szCs w:val="20"/>
        </w:rPr>
        <w:t xml:space="preserve">= Count of RASFF notifications filtered to hazard type h</w:t>
      </w:r>
    </w:p>
    <w:p>
      <w:pPr>
        <w:spacing w:after="60"/>
        <w:ind w:left="1080"/>
      </w:pPr>
      <w:r>
        <w:rPr>
          <w:rFonts w:ascii="Courier New" w:cs="Courier New" w:eastAsia="Courier New" w:hAnsi="Courier New"/>
          <w:b/>
          <w:bCs/>
          <w:sz w:val="20"/>
          <w:szCs w:val="20"/>
        </w:rPr>
        <w:t xml:space="preserve">S(r) </w:t>
      </w:r>
      <w:r>
        <w:rPr>
          <w:sz w:val="20"/>
          <w:szCs w:val="20"/>
        </w:rPr>
        <w:t xml:space="preserve">= Severity weight assigned to RASFF notification r based on its classification (defined in Section 4)</w:t>
      </w:r>
    </w:p>
    <w:p>
      <w:pPr>
        <w:spacing w:after="200"/>
      </w:pPr>
    </w:p>
    <w:p>
      <w:pPr>
        <w:pStyle w:val="Heading2"/>
      </w:pPr>
      <w:r>
        <w:t xml:space="preserve">1.3 Derived Variables (Defined in Subsequent Sections)</w:t>
      </w:r>
    </w:p>
    <w:p>
      <w:pPr>
        <w:spacing w:after="60"/>
        <w:ind w:left="1080"/>
      </w:pPr>
      <w:r>
        <w:rPr>
          <w:rFonts w:ascii="Courier New" w:cs="Courier New" w:eastAsia="Courier New" w:hAnsi="Courier New"/>
          <w:b/>
          <w:bCs/>
          <w:sz w:val="20"/>
          <w:szCs w:val="20"/>
        </w:rPr>
        <w:t xml:space="preserve">IDR(c,i,t) </w:t>
      </w:r>
      <w:r>
        <w:rPr>
          <w:sz w:val="20"/>
          <w:szCs w:val="20"/>
        </w:rPr>
        <w:t xml:space="preserve">= Import Dependency Ratio (Section 2)</w:t>
      </w:r>
    </w:p>
    <w:p>
      <w:pPr>
        <w:spacing w:after="60"/>
        <w:ind w:left="1080"/>
      </w:pPr>
      <w:r>
        <w:rPr>
          <w:rFonts w:ascii="Courier New" w:cs="Courier New" w:eastAsia="Courier New" w:hAnsi="Courier New"/>
          <w:b/>
          <w:bCs/>
          <w:sz w:val="20"/>
          <w:szCs w:val="20"/>
        </w:rPr>
        <w:t xml:space="preserve">BDI(c,i,j,t) </w:t>
      </w:r>
      <w:r>
        <w:rPr>
          <w:sz w:val="20"/>
          <w:szCs w:val="20"/>
        </w:rPr>
        <w:t xml:space="preserve">= Bilateral Dependency Index (Section 2)</w:t>
      </w:r>
    </w:p>
    <w:p>
      <w:pPr>
        <w:spacing w:after="60"/>
        <w:ind w:left="1080"/>
      </w:pPr>
      <w:r>
        <w:rPr>
          <w:rFonts w:ascii="Courier New" w:cs="Courier New" w:eastAsia="Courier New" w:hAnsi="Courier New"/>
          <w:b/>
          <w:bCs/>
          <w:sz w:val="20"/>
          <w:szCs w:val="20"/>
        </w:rPr>
        <w:t xml:space="preserve">HHI(c,i,t) </w:t>
      </w:r>
      <w:r>
        <w:rPr>
          <w:sz w:val="20"/>
          <w:szCs w:val="20"/>
        </w:rPr>
        <w:t xml:space="preserve">= Herfindahl-Hirschman Index for import concentration (Section 2)</w:t>
      </w:r>
    </w:p>
    <w:p>
      <w:pPr>
        <w:spacing w:after="60"/>
        <w:ind w:left="1080"/>
      </w:pPr>
      <w:r>
        <w:rPr>
          <w:rFonts w:ascii="Courier New" w:cs="Courier New" w:eastAsia="Courier New" w:hAnsi="Courier New"/>
          <w:b/>
          <w:bCs/>
          <w:sz w:val="20"/>
          <w:szCs w:val="20"/>
        </w:rPr>
        <w:t xml:space="preserve">PCC(c,i,t) </w:t>
      </w:r>
      <w:r>
        <w:rPr>
          <w:sz w:val="20"/>
          <w:szCs w:val="20"/>
        </w:rPr>
        <w:t xml:space="preserve">= Per capita consumption (Section 3)</w:t>
      </w:r>
    </w:p>
    <w:p>
      <w:pPr>
        <w:spacing w:after="60"/>
        <w:ind w:left="1080"/>
      </w:pPr>
      <w:r>
        <w:rPr>
          <w:rFonts w:ascii="Courier New" w:cs="Courier New" w:eastAsia="Courier New" w:hAnsi="Courier New"/>
          <w:b/>
          <w:bCs/>
          <w:sz w:val="20"/>
          <w:szCs w:val="20"/>
        </w:rPr>
        <w:t xml:space="preserve">UV(c,i,j,t) </w:t>
      </w:r>
      <w:r>
        <w:rPr>
          <w:sz w:val="20"/>
          <w:szCs w:val="20"/>
        </w:rPr>
        <w:t xml:space="preserve">= Unit value / import price proxy (Section 5)</w:t>
      </w:r>
    </w:p>
    <w:p>
      <w:r>
        <w:br w:type="page"/>
      </w:r>
    </w:p>
    <w:p>
      <w:pPr>
        <w:pStyle w:val="Heading1"/>
      </w:pPr>
      <w:r>
        <w:t xml:space="preserve">2. Commodity Dependency Models</w:t>
      </w:r>
    </w:p>
    <w:p>
      <w:pPr>
        <w:spacing w:after="120"/>
      </w:pPr>
      <w:r>
        <w:t xml:space="preserve">This section defines the mathematical models for quantifying how dependent a destination country (attention/alert country) is on a specific origin country for a specific commodity. This is the structural vulnerability layer—it captures the conditions that make fraud economically viable and difficult to resist.</w:t>
      </w:r>
    </w:p>
    <w:p>
      <w:pPr>
        <w:spacing w:after="200"/>
      </w:pPr>
    </w:p>
    <w:p>
      <w:pPr>
        <w:pStyle w:val="Heading2"/>
      </w:pPr>
      <w:r>
        <w:t xml:space="preserve">2.1 Domestic Supply Balance</w:t>
      </w:r>
    </w:p>
    <w:p>
      <w:pPr>
        <w:spacing w:after="120"/>
      </w:pPr>
      <w:r>
        <w:t xml:space="preserve">The foundation of all dependency analysis is the commodity supply balance equation. For any commodity c in country i at time t:</w:t>
      </w:r>
    </w:p>
    <w:p>
      <w:pPr>
        <w:shd w:fill="F2F2F2" w:val="clear"/>
        <w:spacing w:after="160" w:before="160"/>
        <w:ind w:left="720"/>
      </w:pPr>
      <w:r>
        <w:rPr>
          <w:rFonts w:ascii="Courier New" w:cs="Courier New" w:eastAsia="Courier New" w:hAnsi="Courier New"/>
          <w:b/>
          <w:bCs/>
          <w:color w:val="111111"/>
          <w:sz w:val="22"/>
          <w:szCs w:val="22"/>
        </w:rPr>
        <w:t xml:space="preserve">DS(c,i,t) = P(c,i,t) + M(c,i,*,t) - X(c,i,*,t) + ΔS(c,i,t)</w:t>
      </w:r>
    </w:p>
    <w:p>
      <w:pPr>
        <w:spacing w:after="120"/>
      </w:pPr>
      <w:r>
        <w:t xml:space="preserve">where:</w:t>
      </w:r>
    </w:p>
    <w:p>
      <w:pPr>
        <w:spacing w:after="60"/>
        <w:ind w:left="1080"/>
      </w:pPr>
      <w:r>
        <w:rPr>
          <w:rFonts w:ascii="Courier New" w:cs="Courier New" w:eastAsia="Courier New" w:hAnsi="Courier New"/>
          <w:b/>
          <w:bCs/>
          <w:sz w:val="20"/>
          <w:szCs w:val="20"/>
        </w:rPr>
        <w:t xml:space="preserve">DS(c,i,t) </w:t>
      </w:r>
      <w:r>
        <w:rPr>
          <w:sz w:val="20"/>
          <w:szCs w:val="20"/>
        </w:rPr>
        <w:t xml:space="preserve">= Domestic supply available for consumption</w:t>
      </w:r>
    </w:p>
    <w:p>
      <w:pPr>
        <w:spacing w:after="60"/>
        <w:ind w:left="1080"/>
      </w:pPr>
      <w:r>
        <w:rPr>
          <w:rFonts w:ascii="Courier New" w:cs="Courier New" w:eastAsia="Courier New" w:hAnsi="Courier New"/>
          <w:b/>
          <w:bCs/>
          <w:sz w:val="20"/>
          <w:szCs w:val="20"/>
        </w:rPr>
        <w:t xml:space="preserve">P(c,i,t) </w:t>
      </w:r>
      <w:r>
        <w:rPr>
          <w:sz w:val="20"/>
          <w:szCs w:val="20"/>
        </w:rPr>
        <w:t xml:space="preserve">= Domestic production</w:t>
      </w:r>
    </w:p>
    <w:p>
      <w:pPr>
        <w:spacing w:after="60"/>
        <w:ind w:left="1080"/>
      </w:pPr>
      <w:r>
        <w:rPr>
          <w:rFonts w:ascii="Courier New" w:cs="Courier New" w:eastAsia="Courier New" w:hAnsi="Courier New"/>
          <w:b/>
          <w:bCs/>
          <w:sz w:val="20"/>
          <w:szCs w:val="20"/>
        </w:rPr>
        <w:t xml:space="preserve">M(c,i,*,t) </w:t>
      </w:r>
      <w:r>
        <w:rPr>
          <w:sz w:val="20"/>
          <w:szCs w:val="20"/>
        </w:rPr>
        <w:t xml:space="preserve">= Total imports from all origins</w:t>
      </w:r>
    </w:p>
    <w:p>
      <w:pPr>
        <w:spacing w:after="60"/>
        <w:ind w:left="1080"/>
      </w:pPr>
      <w:r>
        <w:rPr>
          <w:rFonts w:ascii="Courier New" w:cs="Courier New" w:eastAsia="Courier New" w:hAnsi="Courier New"/>
          <w:b/>
          <w:bCs/>
          <w:sz w:val="20"/>
          <w:szCs w:val="20"/>
        </w:rPr>
        <w:t xml:space="preserve">X(c,i,*,t) </w:t>
      </w:r>
      <w:r>
        <w:rPr>
          <w:sz w:val="20"/>
          <w:szCs w:val="20"/>
        </w:rPr>
        <w:t xml:space="preserve">= Total exports to all destinations</w:t>
      </w:r>
    </w:p>
    <w:p>
      <w:pPr>
        <w:spacing w:after="60"/>
        <w:ind w:left="1080"/>
      </w:pPr>
      <w:r>
        <w:rPr>
          <w:rFonts w:ascii="Courier New" w:cs="Courier New" w:eastAsia="Courier New" w:hAnsi="Courier New"/>
          <w:b/>
          <w:bCs/>
          <w:sz w:val="20"/>
          <w:szCs w:val="20"/>
        </w:rPr>
        <w:t xml:space="preserve">ΔS(c,i,t) </w:t>
      </w:r>
      <w:r>
        <w:rPr>
          <w:sz w:val="20"/>
          <w:szCs w:val="20"/>
        </w:rPr>
        <w:t xml:space="preserve">= Change in stocks (stock draw-down positive, stock build-up negative)</w:t>
      </w:r>
    </w:p>
    <w:p>
      <w:pPr>
        <w:spacing w:after="200"/>
      </w:pPr>
    </w:p>
    <w:p>
      <w:pPr>
        <w:spacing w:after="120"/>
      </w:pPr>
      <w:r>
        <w:t xml:space="preserve">In practice, stock change data is often unavailable at the commodity level. When ΔS is not available, it is set to zero, yielding the apparent domestic supply:</w:t>
      </w:r>
    </w:p>
    <w:p>
      <w:pPr>
        <w:shd w:fill="F2F2F2" w:val="clear"/>
        <w:spacing w:after="160" w:before="160"/>
        <w:ind w:left="720"/>
      </w:pPr>
      <w:r>
        <w:rPr>
          <w:rFonts w:ascii="Courier New" w:cs="Courier New" w:eastAsia="Courier New" w:hAnsi="Courier New"/>
          <w:b/>
          <w:bCs/>
          <w:color w:val="111111"/>
          <w:sz w:val="22"/>
          <w:szCs w:val="22"/>
        </w:rPr>
        <w:t xml:space="preserve">DS’(c,i,t) = P(c,i,t) + M(c,i,*,t) - X(c,i,*,t)</w:t>
      </w:r>
    </w:p>
    <w:p>
      <w:pPr>
        <w:spacing w:after="120"/>
      </w:pPr>
      <w:r>
        <w:t xml:space="preserve">This is a standard simplification used by FAO in their Food Balance Sheets and is acceptable for the purpose of this system. FAOSTAT provides pre-computed food balance data that already incorporates this calculation for many commodity-country combinations. Where FAOSTAT data is available, it should be used directly. Where it is not, the above equation is computed from Comtrade (imports, exports) and FAOSTAT/Eurostat (production).</w:t>
      </w:r>
    </w:p>
    <w:p>
      <w:r>
        <w:br w:type="page"/>
      </w:r>
    </w:p>
    <w:p>
      <w:pPr>
        <w:pStyle w:val="Heading2"/>
      </w:pPr>
      <w:r>
        <w:t xml:space="preserve">2.2 Import Dependency Ratio (IDR)</w:t>
      </w:r>
    </w:p>
    <w:p>
      <w:pPr>
        <w:spacing w:after="120"/>
      </w:pPr>
      <w:r>
        <w:t xml:space="preserve">The Import Dependency Ratio measures what share of a country’s total domestic supply of a commodity comes from imports rather than domestic production:</w:t>
      </w:r>
    </w:p>
    <w:p>
      <w:pPr>
        <w:shd w:fill="F2F2F2" w:val="clear"/>
        <w:spacing w:after="160" w:before="160"/>
        <w:ind w:left="720"/>
      </w:pPr>
      <w:r>
        <w:rPr>
          <w:rFonts w:ascii="Courier New" w:cs="Courier New" w:eastAsia="Courier New" w:hAnsi="Courier New"/>
          <w:b/>
          <w:bCs/>
          <w:color w:val="111111"/>
          <w:sz w:val="22"/>
          <w:szCs w:val="22"/>
        </w:rPr>
        <w:t xml:space="preserve">IDR(c,i,t) = M(c,i,*,t) / DS’(c,i,t)</w:t>
      </w:r>
    </w:p>
    <w:p>
      <w:pPr>
        <w:spacing w:after="120"/>
      </w:pPr>
      <w:r>
        <w:t xml:space="preserve">Formally:</w:t>
      </w:r>
    </w:p>
    <w:p>
      <w:pPr>
        <w:spacing w:after="160" w:before="160"/>
        <w:ind w:left="720"/>
      </w:pPr>
      <w:r>
        <w:rPr>
          <w:rFonts w:ascii="Courier New" w:cs="Courier New" w:eastAsia="Courier New" w:hAnsi="Courier New"/>
          <w:color w:val="333333"/>
          <w:sz w:val="22"/>
          <w:szCs w:val="22"/>
        </w:rPr>
        <w:t xml:space="preserve">IDR(c,i,t) = M(c,i,*,t) / [P(c,i,t) + M(c,i,*,t) - X(c,i,*,t)]</w:t>
      </w:r>
    </w:p>
    <w:p>
      <w:pPr>
        <w:spacing w:after="200"/>
      </w:pPr>
    </w:p>
    <w:p>
      <w:pPr>
        <w:spacing w:after="120"/>
      </w:pPr>
      <w:r>
        <w:t xml:space="preserve">Properties and interpretation:</w:t>
      </w:r>
    </w:p>
    <w:p>
      <w:pPr>
        <w:pStyle w:val="ListParagraph"/>
        <w:numPr>
          <w:ilvl w:val="0"/>
          <w:numId w:val="2"/>
        </w:numPr>
        <w:spacing w:after="60"/>
      </w:pPr>
      <w:r>
        <w:t xml:space="preserve">IDR = 0: The country is fully self-sufficient; all supply comes from domestic production.</w:t>
      </w:r>
    </w:p>
    <w:p>
      <w:pPr>
        <w:pStyle w:val="ListParagraph"/>
        <w:numPr>
          <w:ilvl w:val="0"/>
          <w:numId w:val="2"/>
        </w:numPr>
        <w:spacing w:after="60"/>
      </w:pPr>
      <w:r>
        <w:t xml:space="preserve">IDR = 1: The country produces nothing domestically; all supply comes from imports (after accounting for re-exports).</w:t>
      </w:r>
    </w:p>
    <w:p>
      <w:pPr>
        <w:pStyle w:val="ListParagraph"/>
        <w:numPr>
          <w:ilvl w:val="0"/>
          <w:numId w:val="2"/>
        </w:numPr>
        <w:spacing w:after="60"/>
      </w:pPr>
      <w:r>
        <w:t xml:space="preserve">0 &lt; IDR &lt; 1: Partial dependency. The higher the value, the greater the import reliance.</w:t>
      </w:r>
    </w:p>
    <w:p>
      <w:pPr>
        <w:pStyle w:val="ListParagraph"/>
        <w:numPr>
          <w:ilvl w:val="0"/>
          <w:numId w:val="2"/>
        </w:numPr>
        <w:spacing w:after="60"/>
      </w:pPr>
      <w:r>
        <w:t xml:space="preserve">IDR &gt; 1: This can occur when the country re-exports more than it produces domestically (acting as a trade hub). This is itself a fraud-relevant signal—it suggests the country is a transit point, and transit creates opacity.</w:t>
      </w:r>
    </w:p>
    <w:p>
      <w:pPr>
        <w:spacing w:after="200"/>
      </w:pPr>
    </w:p>
    <w:p>
      <w:pPr>
        <w:spacing w:after="120"/>
      </w:pPr>
      <w:r>
        <w:t xml:space="preserve">Boundary condition: If DS’(c,i,t) ≤ 0 (country exports more than it produces plus imports, which implies stock drawdown or data error), the IDR is undefined. Flag this as a data quality issue and exclude from scoring until resolved.</w:t>
      </w:r>
    </w:p>
    <w:p>
      <w:r>
        <w:br w:type="page"/>
      </w:r>
    </w:p>
    <w:p>
      <w:pPr>
        <w:pStyle w:val="Heading2"/>
      </w:pPr>
      <w:r>
        <w:t xml:space="preserve">2.3 Bilateral Dependency Index (BDI)</w:t>
      </w:r>
    </w:p>
    <w:p>
      <w:pPr>
        <w:spacing w:after="120"/>
      </w:pPr>
      <w:r>
        <w:t xml:space="preserve">The IDR tells us how dependent country i is on imports in general. But we need to know how dependent it is on a specific origin j. The Bilateral Dependency Index captures this:</w:t>
      </w:r>
    </w:p>
    <w:p>
      <w:pPr>
        <w:shd w:fill="F2F2F2" w:val="clear"/>
        <w:spacing w:after="160" w:before="160"/>
        <w:ind w:left="720"/>
      </w:pPr>
      <w:r>
        <w:rPr>
          <w:rFonts w:ascii="Courier New" w:cs="Courier New" w:eastAsia="Courier New" w:hAnsi="Courier New"/>
          <w:b/>
          <w:bCs/>
          <w:color w:val="111111"/>
          <w:sz w:val="22"/>
          <w:szCs w:val="22"/>
        </w:rPr>
        <w:t xml:space="preserve">BDI(c,i,j,t) = M(c,i,j,t) / DS’(c,i,t)</w:t>
      </w:r>
    </w:p>
    <w:p>
      <w:pPr>
        <w:spacing w:after="200"/>
      </w:pPr>
    </w:p>
    <w:p>
      <w:pPr>
        <w:spacing w:after="120"/>
      </w:pPr>
      <w:r>
        <w:t xml:space="preserve">This measures the share of country i’s total domestic supply of commodity c that is sourced specifically from origin j. It combines two effects: how much of the supply is imported (the IDR) and how concentrated that import is on a single origin.</w:t>
      </w:r>
    </w:p>
    <w:p>
      <w:pPr>
        <w:spacing w:after="120"/>
      </w:pPr>
      <w:r>
        <w:t xml:space="preserve">Equivalently, the BDI can be decomposed as:</w:t>
      </w:r>
    </w:p>
    <w:p>
      <w:pPr>
        <w:shd w:fill="F2F2F2" w:val="clear"/>
        <w:spacing w:after="160" w:before="160"/>
        <w:ind w:left="720"/>
      </w:pPr>
      <w:r>
        <w:rPr>
          <w:rFonts w:ascii="Courier New" w:cs="Courier New" w:eastAsia="Courier New" w:hAnsi="Courier New"/>
          <w:b/>
          <w:bCs/>
          <w:color w:val="111111"/>
          <w:sz w:val="22"/>
          <w:szCs w:val="22"/>
        </w:rPr>
        <w:t xml:space="preserve">BDI(c,i,j,t) = IDR(c,i,t) × OCS(c,i,j,t)</w:t>
      </w:r>
    </w:p>
    <w:p>
      <w:pPr>
        <w:spacing w:after="120"/>
      </w:pPr>
      <w:r>
        <w:t xml:space="preserve">where OCS (Origin Country Share) is:</w:t>
      </w:r>
    </w:p>
    <w:p>
      <w:pPr>
        <w:spacing w:after="160" w:before="160"/>
        <w:ind w:left="720"/>
      </w:pPr>
      <w:r>
        <w:rPr>
          <w:rFonts w:ascii="Courier New" w:cs="Courier New" w:eastAsia="Courier New" w:hAnsi="Courier New"/>
          <w:color w:val="333333"/>
          <w:sz w:val="22"/>
          <w:szCs w:val="22"/>
        </w:rPr>
        <w:t xml:space="preserve">OCS(c,i,j,t) = M(c,i,j,t) / M(c,i,*,t)</w:t>
      </w:r>
    </w:p>
    <w:p>
      <w:pPr>
        <w:spacing w:after="200"/>
      </w:pPr>
    </w:p>
    <w:p>
      <w:pPr>
        <w:spacing w:after="120"/>
      </w:pPr>
      <w:r>
        <w:t xml:space="preserve">This decomposition is analytically useful because it separates two distinct vulnerability drivers: overall import dependency (IDR) and origin concentration (OCS). A country can have high IDR but low BDI for any single origin if it diversifies its suppliers. Conversely, a country with moderate IDR but very high OCS for a single origin is concentrated-dependent—and this concentration is the vulnerability.</w:t>
      </w:r>
    </w:p>
    <w:p>
      <w:pPr>
        <w:spacing w:after="200"/>
      </w:pPr>
    </w:p>
    <w:p>
      <w:pPr>
        <w:spacing w:after="120"/>
      </w:pPr>
      <w:r>
        <w:rPr>
          <w:b/>
          <w:bCs/>
        </w:rPr>
        <w:t xml:space="preserve">Interpretation:</w:t>
      </w:r>
    </w:p>
    <w:p>
      <w:pPr>
        <w:pStyle w:val="ListParagraph"/>
        <w:numPr>
          <w:ilvl w:val="0"/>
          <w:numId w:val="2"/>
        </w:numPr>
        <w:spacing w:after="60"/>
      </w:pPr>
      <w:r>
        <w:t xml:space="preserve">BDI close to 0: Negligible dependency on this specific origin for this commodity.</w:t>
      </w:r>
    </w:p>
    <w:p>
      <w:pPr>
        <w:pStyle w:val="ListParagraph"/>
        <w:numPr>
          <w:ilvl w:val="0"/>
          <w:numId w:val="2"/>
        </w:numPr>
        <w:spacing w:after="60"/>
      </w:pPr>
      <w:r>
        <w:t xml:space="preserve">BDI close to 1: Nearly the entire domestic supply of this commodity comes from this single origin. Extremely high vulnerability.</w:t>
      </w:r>
    </w:p>
    <w:p>
      <w:pPr>
        <w:pStyle w:val="ListParagraph"/>
        <w:numPr>
          <w:ilvl w:val="0"/>
          <w:numId w:val="2"/>
        </w:numPr>
        <w:spacing w:after="60"/>
      </w:pPr>
      <w:r>
        <w:t xml:space="preserve">BDI = IDR: This origin is the sole supplier. Maximum concentration risk.</w:t>
      </w:r>
    </w:p>
    <w:p>
      <w:r>
        <w:br w:type="page"/>
      </w:r>
    </w:p>
    <w:p>
      <w:pPr>
        <w:pStyle w:val="Heading2"/>
      </w:pPr>
      <w:r>
        <w:t xml:space="preserve">2.4 Import Concentration: Herfindahl-Hirschman Index (HHI)</w:t>
      </w:r>
    </w:p>
    <w:p>
      <w:pPr>
        <w:spacing w:after="120"/>
      </w:pPr>
      <w:r>
        <w:t xml:space="preserve">To measure how concentrated a country’s import sources are across all origins (not just one), we use the Herfindahl-Hirschman Index adapted for trade:</w:t>
      </w:r>
    </w:p>
    <w:p>
      <w:pPr>
        <w:shd w:fill="F2F2F2" w:val="clear"/>
        <w:spacing w:after="160" w:before="160"/>
        <w:ind w:left="720"/>
      </w:pPr>
      <w:r>
        <w:rPr>
          <w:rFonts w:ascii="Courier New" w:cs="Courier New" w:eastAsia="Courier New" w:hAnsi="Courier New"/>
          <w:b/>
          <w:bCs/>
          <w:color w:val="111111"/>
          <w:sz w:val="22"/>
          <w:szCs w:val="22"/>
        </w:rPr>
        <w:t xml:space="preserve">HHI(c,i,t) = Σ_j [OCS(c,i,j,t)]^2</w:t>
      </w:r>
    </w:p>
    <w:p>
      <w:pPr>
        <w:spacing w:after="120"/>
      </w:pPr>
      <w:r>
        <w:t xml:space="preserve">which expands to:</w:t>
      </w:r>
    </w:p>
    <w:p>
      <w:pPr>
        <w:spacing w:after="160" w:before="160"/>
        <w:ind w:left="720"/>
      </w:pPr>
      <w:r>
        <w:rPr>
          <w:rFonts w:ascii="Courier New" w:cs="Courier New" w:eastAsia="Courier New" w:hAnsi="Courier New"/>
          <w:color w:val="333333"/>
          <w:sz w:val="22"/>
          <w:szCs w:val="22"/>
        </w:rPr>
        <w:t xml:space="preserve">HHI(c,i,t) = Σ_j [M(c,i,j,t) / M(c,i,*,t)]^2</w:t>
      </w:r>
    </w:p>
    <w:p>
      <w:pPr>
        <w:spacing w:after="200"/>
      </w:pPr>
    </w:p>
    <w:p>
      <w:pPr>
        <w:spacing w:after="120"/>
      </w:pPr>
      <w:r>
        <w:t xml:space="preserve">Properties:</w:t>
      </w:r>
    </w:p>
    <w:p>
      <w:pPr>
        <w:pStyle w:val="ListParagraph"/>
        <w:numPr>
          <w:ilvl w:val="0"/>
          <w:numId w:val="2"/>
        </w:numPr>
        <w:spacing w:after="60"/>
      </w:pPr>
      <w:r>
        <w:t xml:space="preserve">HHI = 1/n (where n is the number of suppliers): Perfectly diversified imports across n equal suppliers.</w:t>
      </w:r>
    </w:p>
    <w:p>
      <w:pPr>
        <w:pStyle w:val="ListParagraph"/>
        <w:numPr>
          <w:ilvl w:val="0"/>
          <w:numId w:val="2"/>
        </w:numPr>
        <w:spacing w:after="60"/>
      </w:pPr>
      <w:r>
        <w:t xml:space="preserve">HHI = 1: All imports come from a single origin. Maximum concentration.</w:t>
      </w:r>
    </w:p>
    <w:p>
      <w:pPr>
        <w:pStyle w:val="ListParagraph"/>
        <w:numPr>
          <w:ilvl w:val="0"/>
          <w:numId w:val="2"/>
        </w:numPr>
        <w:spacing w:after="60"/>
      </w:pPr>
      <w:r>
        <w:t xml:space="preserve">HHI &gt; 0.25: Highly concentrated (using the standard antitrust threshold). This indicates that a small number of origins dominate the supply, reducing the destination country’s bargaining power and ability to substitute.</w:t>
      </w:r>
    </w:p>
    <w:p>
      <w:pPr>
        <w:spacing w:after="200"/>
      </w:pPr>
    </w:p>
    <w:p>
      <w:pPr>
        <w:spacing w:after="120"/>
      </w:pPr>
      <w:r>
        <w:t xml:space="preserve">The HHI is important because it captures systemic vulnerability beyond what the BDI for a single origin shows. Even if no single origin has a dominant BDI, a high HHI means the market is concentrated among a few suppliers, and the loss or compromise of any one would have disproportionate impact.</w:t>
      </w:r>
    </w:p>
    <w:p>
      <w:r>
        <w:br w:type="page"/>
      </w:r>
    </w:p>
    <w:p>
      <w:pPr>
        <w:pStyle w:val="Heading2"/>
      </w:pPr>
      <w:r>
        <w:t xml:space="preserve">2.5 Self-Sufficiency Ratio (SSR)</w:t>
      </w:r>
    </w:p>
    <w:p>
      <w:pPr>
        <w:spacing w:after="120"/>
      </w:pPr>
      <w:r>
        <w:t xml:space="preserve">The SSR provides a complementary perspective by measuring how much of domestic consumption is covered by domestic production:</w:t>
      </w:r>
    </w:p>
    <w:p>
      <w:pPr>
        <w:shd w:fill="F2F2F2" w:val="clear"/>
        <w:spacing w:after="160" w:before="160"/>
        <w:ind w:left="720"/>
      </w:pPr>
      <w:r>
        <w:rPr>
          <w:rFonts w:ascii="Courier New" w:cs="Courier New" w:eastAsia="Courier New" w:hAnsi="Courier New"/>
          <w:b/>
          <w:bCs/>
          <w:color w:val="111111"/>
          <w:sz w:val="22"/>
          <w:szCs w:val="22"/>
        </w:rPr>
        <w:t xml:space="preserve">SSR(c,i,t) = P(c,i,t) / D(c,i,t)</w:t>
      </w:r>
    </w:p>
    <w:p>
      <w:pPr>
        <w:spacing w:after="120"/>
      </w:pPr>
      <w:r>
        <w:t xml:space="preserve">where D(c,i,t) is the FAOSTAT domestic supply for food use (apparent consumption), or if unavailable:</w:t>
      </w:r>
    </w:p>
    <w:p>
      <w:pPr>
        <w:spacing w:after="160" w:before="160"/>
        <w:ind w:left="720"/>
      </w:pPr>
      <w:r>
        <w:rPr>
          <w:rFonts w:ascii="Courier New" w:cs="Courier New" w:eastAsia="Courier New" w:hAnsi="Courier New"/>
          <w:color w:val="333333"/>
          <w:sz w:val="22"/>
          <w:szCs w:val="22"/>
        </w:rPr>
        <w:t xml:space="preserve">D(c,i,t) ≈ DS’(c,i,t) - waste - non-food_use</w:t>
      </w:r>
    </w:p>
    <w:p>
      <w:pPr>
        <w:spacing w:after="200"/>
      </w:pPr>
    </w:p>
    <w:p>
      <w:pPr>
        <w:spacing w:after="120"/>
      </w:pPr>
      <w:r>
        <w:t xml:space="preserve">When FAOSTAT Food Balance Sheet data is available, D(c,i,t) can be read directly from the “Food supply quantity” field. When it is not, DS’ is used as a proxy.</w:t>
      </w:r>
    </w:p>
    <w:p>
      <w:pPr>
        <w:spacing w:after="200"/>
      </w:pPr>
    </w:p>
    <w:p>
      <w:pPr>
        <w:spacing w:after="120"/>
      </w:pPr>
      <w:r>
        <w:rPr>
          <w:b/>
          <w:bCs/>
        </w:rPr>
        <w:t xml:space="preserve">Interpretation:</w:t>
      </w:r>
    </w:p>
    <w:p>
      <w:pPr>
        <w:pStyle w:val="ListParagraph"/>
        <w:numPr>
          <w:ilvl w:val="0"/>
          <w:numId w:val="2"/>
        </w:numPr>
        <w:spacing w:after="60"/>
      </w:pPr>
      <w:r>
        <w:t xml:space="preserve">SSR &gt; 1: The country produces more than it consumes (net exporter). Low structural vulnerability to import fraud for this commodity.</w:t>
      </w:r>
    </w:p>
    <w:p>
      <w:pPr>
        <w:pStyle w:val="ListParagraph"/>
        <w:numPr>
          <w:ilvl w:val="0"/>
          <w:numId w:val="2"/>
        </w:numPr>
        <w:spacing w:after="60"/>
      </w:pPr>
      <w:r>
        <w:t xml:space="preserve">SSR = 1: Production exactly meets consumption. Balanced but fragile—any disruption tips into dependency.</w:t>
      </w:r>
    </w:p>
    <w:p>
      <w:pPr>
        <w:pStyle w:val="ListParagraph"/>
        <w:numPr>
          <w:ilvl w:val="0"/>
          <w:numId w:val="2"/>
        </w:numPr>
        <w:spacing w:after="60"/>
      </w:pPr>
      <w:r>
        <w:t xml:space="preserve">SSR &lt; 1: The country cannot meet its own demand. The gap (1 – SSR) must be filled by imports.</w:t>
      </w:r>
    </w:p>
    <w:p>
      <w:pPr>
        <w:pStyle w:val="ListParagraph"/>
        <w:numPr>
          <w:ilvl w:val="0"/>
          <w:numId w:val="2"/>
        </w:numPr>
        <w:spacing w:after="60"/>
      </w:pPr>
      <w:r>
        <w:t xml:space="preserve">SSR = 0: No domestic production at all. Fully dependent on imports.</w:t>
      </w:r>
    </w:p>
    <w:p>
      <w:r>
        <w:br w:type="page"/>
      </w:r>
    </w:p>
    <w:p>
      <w:pPr>
        <w:pStyle w:val="Heading2"/>
      </w:pPr>
      <w:r>
        <w:t xml:space="preserve">2.6 Supply Criticality Index (SCI)</w:t>
      </w:r>
    </w:p>
    <w:p>
      <w:pPr>
        <w:spacing w:after="120"/>
      </w:pPr>
      <w:r>
        <w:t xml:space="preserve">The SCI combines the import dependency and origin concentration into a single corridor-specific measure. This is the core metric for quantifying the structural vulnerability of the relationship between a specific destination country and a specific origin for a specific commodity:</w:t>
      </w:r>
    </w:p>
    <w:p>
      <w:pPr>
        <w:shd w:fill="F2F2F2" w:val="clear"/>
        <w:spacing w:after="160" w:before="160"/>
        <w:ind w:left="720"/>
      </w:pPr>
      <w:r>
        <w:rPr>
          <w:rFonts w:ascii="Courier New" w:cs="Courier New" w:eastAsia="Courier New" w:hAnsi="Courier New"/>
          <w:b/>
          <w:bCs/>
          <w:color w:val="111111"/>
          <w:sz w:val="22"/>
          <w:szCs w:val="22"/>
        </w:rPr>
        <w:t xml:space="preserve">SCI(c,i,j,t) = IDR(c,i,t) × OCS(c,i,j,t) × (1 + HHI(c,i,t))</w:t>
      </w:r>
    </w:p>
    <w:p>
      <w:pPr>
        <w:spacing w:after="200"/>
      </w:pPr>
    </w:p>
    <w:p>
      <w:pPr>
        <w:spacing w:after="120"/>
      </w:pPr>
      <w:r>
        <w:t xml:space="preserve">The (1 + HHI) term serves as an amplifier: when the overall import market is concentrated (HHI is high), the vulnerability of any single corridor within that market is amplified because the destination country has fewer alternative suppliers to turn to if a problem is detected.</w:t>
      </w:r>
    </w:p>
    <w:p>
      <w:pPr>
        <w:spacing w:after="200"/>
      </w:pPr>
    </w:p>
    <w:p>
      <w:pPr>
        <w:spacing w:after="120"/>
      </w:pPr>
      <w:r>
        <w:t xml:space="preserve">Properties:</w:t>
      </w:r>
    </w:p>
    <w:p>
      <w:pPr>
        <w:pStyle w:val="ListParagraph"/>
        <w:numPr>
          <w:ilvl w:val="0"/>
          <w:numId w:val="2"/>
        </w:numPr>
        <w:spacing w:after="60"/>
      </w:pPr>
      <w:r>
        <w:t xml:space="preserve">SCI ranges from 0 to 2 (since IDR, OCS ∈ [0,1] and HHI ∈ [0,1], the max is 1 × 1 × 2 = 2).</w:t>
      </w:r>
    </w:p>
    <w:p>
      <w:pPr>
        <w:pStyle w:val="ListParagraph"/>
        <w:numPr>
          <w:ilvl w:val="0"/>
          <w:numId w:val="2"/>
        </w:numPr>
        <w:spacing w:after="60"/>
      </w:pPr>
      <w:r>
        <w:t xml:space="preserve">SCI = 0: No dependency on this origin (either self-sufficient or this origin supplies nothing).</w:t>
      </w:r>
    </w:p>
    <w:p>
      <w:pPr>
        <w:pStyle w:val="ListParagraph"/>
        <w:numPr>
          <w:ilvl w:val="0"/>
          <w:numId w:val="2"/>
        </w:numPr>
        <w:spacing w:after="60"/>
      </w:pPr>
      <w:r>
        <w:t xml:space="preserve">SCI = 2: Maximum vulnerability—fully import-dependent, sole supplier, no diversification.</w:t>
      </w:r>
    </w:p>
    <w:p>
      <w:pPr>
        <w:pStyle w:val="ListParagraph"/>
        <w:numPr>
          <w:ilvl w:val="0"/>
          <w:numId w:val="2"/>
        </w:numPr>
        <w:spacing w:after="60"/>
      </w:pPr>
      <w:r>
        <w:t xml:space="preserve">For normalisation to [0,1], divide by 2: SCI_norm = SCI / 2.</w:t>
      </w:r>
    </w:p>
    <w:p>
      <w:pPr>
        <w:spacing w:after="200"/>
      </w:pPr>
    </w:p>
    <w:p>
      <w:pPr>
        <w:spacing w:after="120"/>
      </w:pPr>
      <w:r>
        <w:rPr>
          <w:b/>
          <w:bCs/>
        </w:rPr>
        <w:t xml:space="preserve">Worked example from your RASFF data:</w:t>
      </w:r>
    </w:p>
    <w:p>
      <w:pPr>
        <w:spacing w:after="120"/>
      </w:pPr>
      <w:r>
        <w:t xml:space="preserve">RASFF 2026.0129: Cadmium in flaxseed from France, notified by Belgium.</w:t>
      </w:r>
    </w:p>
    <w:p>
      <w:pPr>
        <w:spacing w:after="120"/>
      </w:pPr>
      <w:r>
        <w:t xml:space="preserve">Suppose (hypothetical data for illustration—you would populate with actual Comtrade/FAOSTAT data):</w:t>
      </w:r>
    </w:p>
    <w:p>
      <w:pPr>
        <w:spacing w:after="160" w:before="160"/>
        <w:ind w:left="720"/>
      </w:pPr>
      <w:r>
        <w:rPr>
          <w:rFonts w:ascii="Courier New" w:cs="Courier New" w:eastAsia="Courier New" w:hAnsi="Courier New"/>
          <w:color w:val="333333"/>
          <w:sz w:val="22"/>
          <w:szCs w:val="22"/>
        </w:rPr>
        <w:t xml:space="preserve">P(flaxseed, BE, 2025)   = 500 tonnes</w:t>
      </w:r>
    </w:p>
    <w:p>
      <w:pPr>
        <w:spacing w:after="160" w:before="160"/>
        <w:ind w:left="720"/>
      </w:pPr>
      <w:r>
        <w:rPr>
          <w:rFonts w:ascii="Courier New" w:cs="Courier New" w:eastAsia="Courier New" w:hAnsi="Courier New"/>
          <w:color w:val="333333"/>
          <w:sz w:val="22"/>
          <w:szCs w:val="22"/>
        </w:rPr>
        <w:t xml:space="preserve">M(flaxseed, BE, *, 2025) = 12,000 tonnes</w:t>
      </w:r>
    </w:p>
    <w:p>
      <w:pPr>
        <w:spacing w:after="160" w:before="160"/>
        <w:ind w:left="720"/>
      </w:pPr>
      <w:r>
        <w:rPr>
          <w:rFonts w:ascii="Courier New" w:cs="Courier New" w:eastAsia="Courier New" w:hAnsi="Courier New"/>
          <w:color w:val="333333"/>
          <w:sz w:val="22"/>
          <w:szCs w:val="22"/>
        </w:rPr>
        <w:t xml:space="preserve">X(flaxseed, BE, *, 2025) = 1,500 tonnes</w:t>
      </w:r>
    </w:p>
    <w:p>
      <w:pPr>
        <w:spacing w:after="160" w:before="160"/>
        <w:ind w:left="720"/>
      </w:pPr>
      <w:r>
        <w:rPr>
          <w:rFonts w:ascii="Courier New" w:cs="Courier New" w:eastAsia="Courier New" w:hAnsi="Courier New"/>
          <w:color w:val="333333"/>
          <w:sz w:val="22"/>
          <w:szCs w:val="22"/>
        </w:rPr>
        <w:t xml:space="preserve">M(flaxseed, BE, FR, 2025)= 8,000 tonnes</w:t>
      </w:r>
    </w:p>
    <w:p>
      <w:pPr>
        <w:spacing w:after="200"/>
      </w:pPr>
    </w:p>
    <w:p>
      <w:pPr>
        <w:spacing w:after="160" w:before="160"/>
        <w:ind w:left="720"/>
      </w:pPr>
      <w:r>
        <w:rPr>
          <w:rFonts w:ascii="Courier New" w:cs="Courier New" w:eastAsia="Courier New" w:hAnsi="Courier New"/>
          <w:color w:val="333333"/>
          <w:sz w:val="22"/>
          <w:szCs w:val="22"/>
        </w:rPr>
        <w:t xml:space="preserve">DS’ = 500 + 12,000 - 1,500 = 11,000 tonnes</w:t>
      </w:r>
    </w:p>
    <w:p>
      <w:pPr>
        <w:spacing w:after="160" w:before="160"/>
        <w:ind w:left="720"/>
      </w:pPr>
      <w:r>
        <w:rPr>
          <w:rFonts w:ascii="Courier New" w:cs="Courier New" w:eastAsia="Courier New" w:hAnsi="Courier New"/>
          <w:color w:val="333333"/>
          <w:sz w:val="22"/>
          <w:szCs w:val="22"/>
        </w:rPr>
        <w:t xml:space="preserve">IDR  = 12,000 / 11,000 = 1.09  (&gt;1: BE is a transit hub for flaxseed)</w:t>
      </w:r>
    </w:p>
    <w:p>
      <w:pPr>
        <w:spacing w:after="160" w:before="160"/>
        <w:ind w:left="720"/>
      </w:pPr>
      <w:r>
        <w:rPr>
          <w:rFonts w:ascii="Courier New" w:cs="Courier New" w:eastAsia="Courier New" w:hAnsi="Courier New"/>
          <w:color w:val="333333"/>
          <w:sz w:val="22"/>
          <w:szCs w:val="22"/>
        </w:rPr>
        <w:t xml:space="preserve">OCS  = 8,000 / 12,000  = 0.667</w:t>
      </w:r>
    </w:p>
    <w:p>
      <w:pPr>
        <w:spacing w:after="160" w:before="160"/>
        <w:ind w:left="720"/>
      </w:pPr>
      <w:r>
        <w:rPr>
          <w:rFonts w:ascii="Courier New" w:cs="Courier New" w:eastAsia="Courier New" w:hAnsi="Courier New"/>
          <w:color w:val="333333"/>
          <w:sz w:val="22"/>
          <w:szCs w:val="22"/>
        </w:rPr>
        <w:t xml:space="preserve">HHI  = (0.667)^2 + (shares of other origins)^2  [hypothetical = 0.52]</w:t>
      </w:r>
    </w:p>
    <w:p>
      <w:pPr>
        <w:spacing w:after="160" w:before="160"/>
        <w:ind w:left="720"/>
      </w:pPr>
      <w:r>
        <w:rPr>
          <w:rFonts w:ascii="Courier New" w:cs="Courier New" w:eastAsia="Courier New" w:hAnsi="Courier New"/>
          <w:color w:val="333333"/>
          <w:sz w:val="22"/>
          <w:szCs w:val="22"/>
        </w:rPr>
        <w:t xml:space="preserve">SCI  = 1.09 × 0.667 × (1 + 0.52) = 1.09 × 0.667 × 1.52 = 1.105</w:t>
      </w:r>
    </w:p>
    <w:p>
      <w:pPr>
        <w:spacing w:after="160" w:before="160"/>
        <w:ind w:left="720"/>
      </w:pPr>
      <w:r>
        <w:rPr>
          <w:rFonts w:ascii="Courier New" w:cs="Courier New" w:eastAsia="Courier New" w:hAnsi="Courier New"/>
          <w:color w:val="333333"/>
          <w:sz w:val="22"/>
          <w:szCs w:val="22"/>
        </w:rPr>
        <w:t xml:space="preserve">SCI_norm = 1.105 / 2 = 0.553</w:t>
      </w:r>
    </w:p>
    <w:p>
      <w:pPr>
        <w:spacing w:after="200"/>
      </w:pPr>
    </w:p>
    <w:p>
      <w:pPr>
        <w:spacing w:after="120"/>
      </w:pPr>
      <w:r>
        <w:t xml:space="preserve">This tells us Belgium has a moderately high structural dependency on France for flaxseed, which means Belgium’s ability to reject or divert problematic French flaxseed shipments is constrained by its supply needs.</w:t>
      </w:r>
    </w:p>
    <w:p>
      <w:r>
        <w:br w:type="page"/>
      </w:r>
    </w:p>
    <w:p>
      <w:pPr>
        <w:pStyle w:val="Heading1"/>
      </w:pPr>
      <w:r>
        <w:t xml:space="preserve">3. Consumption Demand Modelling</w:t>
      </w:r>
    </w:p>
    <w:p>
      <w:pPr>
        <w:spacing w:after="120"/>
      </w:pPr>
      <w:r>
        <w:t xml:space="preserve">The dependency models tell us about the supply side: how much a country needs from external sources. The consumption models tell us about the demand side: how important this commodity is to the country’s food system. Together they define the market pressure that fraud exploits.</w:t>
      </w:r>
    </w:p>
    <w:p>
      <w:pPr>
        <w:spacing w:after="200"/>
      </w:pPr>
    </w:p>
    <w:p>
      <w:pPr>
        <w:pStyle w:val="Heading2"/>
      </w:pPr>
      <w:r>
        <w:t xml:space="preserve">3.1 Per Capita Apparent Consumption</w:t>
      </w:r>
    </w:p>
    <w:p>
      <w:pPr>
        <w:shd w:fill="F2F2F2" w:val="clear"/>
        <w:spacing w:after="160" w:before="160"/>
        <w:ind w:left="720"/>
      </w:pPr>
      <w:r>
        <w:rPr>
          <w:rFonts w:ascii="Courier New" w:cs="Courier New" w:eastAsia="Courier New" w:hAnsi="Courier New"/>
          <w:b/>
          <w:bCs/>
          <w:color w:val="111111"/>
          <w:sz w:val="22"/>
          <w:szCs w:val="22"/>
        </w:rPr>
        <w:t xml:space="preserve">PCC(c,i,t) = D(c,i,t) / Pop(i,t)</w:t>
      </w:r>
    </w:p>
    <w:p>
      <w:pPr>
        <w:spacing w:after="120"/>
      </w:pPr>
      <w:r>
        <w:t xml:space="preserve">expressed in kg/capita/year. This is the most directly interpretable measure of how much of this commodity the population consumes. FAOSTAT Food Balance Sheets provide this directly for many commodity-country pairs.</w:t>
      </w:r>
    </w:p>
    <w:p>
      <w:pPr>
        <w:spacing w:after="200"/>
      </w:pPr>
    </w:p>
    <w:p>
      <w:pPr>
        <w:pStyle w:val="Heading2"/>
      </w:pPr>
      <w:r>
        <w:t xml:space="preserve">3.2 Commodity Consumption Rank</w:t>
      </w:r>
    </w:p>
    <w:p>
      <w:pPr>
        <w:spacing w:after="120"/>
      </w:pPr>
      <w:r>
        <w:t xml:space="preserve">For each country i and time period t, rank all commodities by PCC to establish the relative importance of each commodity in the national food basket:</w:t>
      </w:r>
    </w:p>
    <w:p>
      <w:pPr>
        <w:shd w:fill="F2F2F2" w:val="clear"/>
        <w:spacing w:after="160" w:before="160"/>
        <w:ind w:left="720"/>
      </w:pPr>
      <w:r>
        <w:rPr>
          <w:rFonts w:ascii="Courier New" w:cs="Courier New" w:eastAsia="Courier New" w:hAnsi="Courier New"/>
          <w:b/>
          <w:bCs/>
          <w:color w:val="111111"/>
          <w:sz w:val="22"/>
          <w:szCs w:val="22"/>
        </w:rPr>
        <w:t xml:space="preserve">Rank(c,i,t) = position of c when all commodities in C are ordered by PCC(c,i,t) descending</w:t>
      </w:r>
    </w:p>
    <w:p>
      <w:pPr>
        <w:spacing w:after="120"/>
      </w:pPr>
      <w:r>
        <w:t xml:space="preserve">Then normalise to a [0,1] score:</w:t>
      </w:r>
    </w:p>
    <w:p>
      <w:pPr>
        <w:spacing w:after="160" w:before="160"/>
        <w:ind w:left="720"/>
      </w:pPr>
      <w:r>
        <w:rPr>
          <w:rFonts w:ascii="Courier New" w:cs="Courier New" w:eastAsia="Courier New" w:hAnsi="Courier New"/>
          <w:color w:val="333333"/>
          <w:sz w:val="22"/>
          <w:szCs w:val="22"/>
        </w:rPr>
        <w:t xml:space="preserve">CRS(c,i,t) = 1 - [(Rank(c,i,t) - 1) / (|C| - 1)]</w:t>
      </w:r>
    </w:p>
    <w:p>
      <w:pPr>
        <w:spacing w:after="120"/>
      </w:pPr>
      <w:r>
        <w:t xml:space="preserve">where |C| is the total number of commodities. CRS = 1 for the highest-consumed commodity, CRS = 0 for the lowest.</w:t>
      </w:r>
    </w:p>
    <w:p>
      <w:pPr>
        <w:spacing w:after="200"/>
      </w:pPr>
    </w:p>
    <w:p>
      <w:pPr>
        <w:spacing w:after="120"/>
      </w:pPr>
      <w:r>
        <w:t xml:space="preserve">This normalised rank is preferable to raw PCC for cross-commodity comparison because different commodities have vastly different consumption scales (e.g., wheat in hundreds of kg/capita vs. saffron in grams/capita). The rank captures relative dietary importance regardless of absolute scale.</w:t>
      </w:r>
    </w:p>
    <w:p>
      <w:pPr>
        <w:spacing w:after="200"/>
      </w:pPr>
    </w:p>
    <w:p>
      <w:pPr>
        <w:pStyle w:val="Heading2"/>
      </w:pPr>
      <w:r>
        <w:t xml:space="preserve">3.3 Demand Inelasticity Indicator</w:t>
      </w:r>
    </w:p>
    <w:p>
      <w:pPr>
        <w:spacing w:after="120"/>
      </w:pPr>
      <w:r>
        <w:t xml:space="preserve">Some commodities are culturally embedded in a country’s diet and consumers will continue to buy them regardless of price or supply concerns. This inelasticity makes the market more exploitable. We estimate this using the coefficient of variation of historical consumption:</w:t>
      </w:r>
    </w:p>
    <w:p>
      <w:pPr>
        <w:shd w:fill="F2F2F2" w:val="clear"/>
        <w:spacing w:after="160" w:before="160"/>
        <w:ind w:left="720"/>
      </w:pPr>
      <w:r>
        <w:rPr>
          <w:rFonts w:ascii="Courier New" w:cs="Courier New" w:eastAsia="Courier New" w:hAnsi="Courier New"/>
          <w:b/>
          <w:bCs/>
          <w:color w:val="111111"/>
          <w:sz w:val="22"/>
          <w:szCs w:val="22"/>
        </w:rPr>
        <w:t xml:space="preserve">CV_D(c,i) = σ[PCC(c,i,t)] / μ[PCC(c,i,t)]   over t ∈ {t-5, ..., t}</w:t>
      </w:r>
    </w:p>
    <w:p>
      <w:pPr>
        <w:spacing w:after="120"/>
      </w:pPr>
      <w:r>
        <w:t xml:space="preserve">where σ is the standard deviation and μ is the mean over the most recent 5 years.</w:t>
      </w:r>
    </w:p>
    <w:p>
      <w:pPr>
        <w:spacing w:after="200"/>
      </w:pPr>
    </w:p>
    <w:p>
      <w:pPr>
        <w:spacing w:after="120"/>
      </w:pPr>
      <w:r>
        <w:t xml:space="preserve">A low CV_D indicates stable, inelastic demand—the population consumes roughly the same amount regardless of conditions. This stability means the market is predictable for fraudsters. A high CV_D indicates volatile demand, which is harder to exploit systematically.</w:t>
      </w:r>
    </w:p>
    <w:p>
      <w:pPr>
        <w:spacing w:after="200"/>
      </w:pPr>
    </w:p>
    <w:p>
      <w:pPr>
        <w:spacing w:after="120"/>
      </w:pPr>
      <w:r>
        <w:t xml:space="preserve">The demand inelasticity score is:</w:t>
      </w:r>
    </w:p>
    <w:p>
      <w:pPr>
        <w:spacing w:after="160" w:before="160"/>
        <w:ind w:left="720"/>
      </w:pPr>
      <w:r>
        <w:rPr>
          <w:rFonts w:ascii="Courier New" w:cs="Courier New" w:eastAsia="Courier New" w:hAnsi="Courier New"/>
          <w:color w:val="333333"/>
          <w:sz w:val="22"/>
          <w:szCs w:val="22"/>
        </w:rPr>
        <w:t xml:space="preserve">DIS(c,i) = 1 - min(CV_D(c,i), 1)</w:t>
      </w:r>
    </w:p>
    <w:p>
      <w:pPr>
        <w:spacing w:after="120"/>
      </w:pPr>
      <w:r>
        <w:t xml:space="preserve">DIS = 1 for perfectly stable demand (maximum exploitability). DIS = 0 for highly volatile demand.</w:t>
      </w:r>
    </w:p>
    <w:p>
      <w:r>
        <w:br w:type="page"/>
      </w:r>
    </w:p>
    <w:p>
      <w:pPr>
        <w:pStyle w:val="Heading1"/>
      </w:pPr>
      <w:r>
        <w:t xml:space="preserve">4. Hazard Signal Modelling (RASFF–Trade Corridor Integration)</w:t>
      </w:r>
    </w:p>
    <w:p>
      <w:pPr>
        <w:spacing w:after="120"/>
      </w:pPr>
      <w:r>
        <w:t xml:space="preserve">This section models how RASFF notifications are formally linked to trade corridors and how hazard history is quantified. This is the mathematical integration of your RASFF data with your trade and dependency data.</w:t>
      </w:r>
    </w:p>
    <w:p>
      <w:pPr>
        <w:spacing w:after="200"/>
      </w:pPr>
    </w:p>
    <w:p>
      <w:pPr>
        <w:pStyle w:val="Heading2"/>
      </w:pPr>
      <w:r>
        <w:t xml:space="preserve">4.1 Corridor Definition from RASFF Data</w:t>
      </w:r>
    </w:p>
    <w:p>
      <w:pPr>
        <w:spacing w:after="120"/>
      </w:pPr>
      <w:r>
        <w:t xml:space="preserve">A single RASFF notification maps to one or more corridors. From your data structure, a notification r defines:</w:t>
      </w:r>
    </w:p>
    <w:p>
      <w:pPr>
        <w:spacing w:after="160" w:before="160"/>
        <w:ind w:left="720"/>
      </w:pPr>
      <w:r>
        <w:rPr>
          <w:rFonts w:ascii="Courier New" w:cs="Courier New" w:eastAsia="Courier New" w:hAnsi="Courier New"/>
          <w:color w:val="333333"/>
          <w:sz w:val="22"/>
          <w:szCs w:val="22"/>
        </w:rPr>
        <w:t xml:space="preserve">Origin(r) = j          (the origin field)</w:t>
      </w:r>
    </w:p>
    <w:p>
      <w:pPr>
        <w:spacing w:after="160" w:before="160"/>
        <w:ind w:left="720"/>
      </w:pPr>
      <w:r>
        <w:rPr>
          <w:rFonts w:ascii="Courier New" w:cs="Courier New" w:eastAsia="Courier New" w:hAnsi="Courier New"/>
          <w:color w:val="333333"/>
          <w:sz w:val="22"/>
          <w:szCs w:val="22"/>
        </w:rPr>
        <w:t xml:space="preserve">Commodity(r) = c       (mapped to HS code via the commodity_code field or NLP classification)</w:t>
      </w:r>
    </w:p>
    <w:p>
      <w:pPr>
        <w:spacing w:after="160" w:before="160"/>
        <w:ind w:left="720"/>
      </w:pPr>
      <w:r>
        <w:rPr>
          <w:rFonts w:ascii="Courier New" w:cs="Courier New" w:eastAsia="Courier New" w:hAnsi="Courier New"/>
          <w:color w:val="333333"/>
          <w:sz w:val="22"/>
          <w:szCs w:val="22"/>
        </w:rPr>
        <w:t xml:space="preserve">Affected(r) = {i_1, i_2, ..., i_k}</w:t>
      </w:r>
    </w:p>
    <w:p>
      <w:pPr>
        <w:spacing w:after="200"/>
      </w:pPr>
    </w:p>
    <w:p>
      <w:pPr>
        <w:spacing w:after="120"/>
      </w:pPr>
      <w:r>
        <w:t xml:space="preserve">where the Affected set is constructed as the union of:</w:t>
      </w:r>
    </w:p>
    <w:p>
      <w:pPr>
        <w:pStyle w:val="ListParagraph"/>
        <w:numPr>
          <w:ilvl w:val="0"/>
          <w:numId w:val="2"/>
        </w:numPr>
        <w:spacing w:after="60"/>
      </w:pPr>
      <w:r>
        <w:rPr>
          <w:b/>
          <w:bCs/>
        </w:rPr>
        <w:t xml:space="preserve">notifying_country: </w:t>
      </w:r>
      <w:r>
        <w:t xml:space="preserve">the country that detected and reported the hazard</w:t>
      </w:r>
    </w:p>
    <w:p>
      <w:pPr>
        <w:pStyle w:val="ListParagraph"/>
        <w:numPr>
          <w:ilvl w:val="0"/>
          <w:numId w:val="2"/>
        </w:numPr>
        <w:spacing w:after="60"/>
      </w:pPr>
      <w:r>
        <w:rPr>
          <w:b/>
          <w:bCs/>
        </w:rPr>
        <w:t xml:space="preserve">for_attention: </w:t>
      </w:r>
      <w:r>
        <w:t xml:space="preserve">countries alerted because the product may be on their market</w:t>
      </w:r>
    </w:p>
    <w:p>
      <w:pPr>
        <w:pStyle w:val="ListParagraph"/>
        <w:numPr>
          <w:ilvl w:val="0"/>
          <w:numId w:val="2"/>
        </w:numPr>
        <w:spacing w:after="60"/>
      </w:pPr>
      <w:r>
        <w:rPr>
          <w:b/>
          <w:bCs/>
        </w:rPr>
        <w:t xml:space="preserve">for_followUp: </w:t>
      </w:r>
      <w:r>
        <w:t xml:space="preserve">countries asked to investigate further</w:t>
      </w:r>
    </w:p>
    <w:p>
      <w:pPr>
        <w:spacing w:after="200"/>
      </w:pPr>
    </w:p>
    <w:p>
      <w:pPr>
        <w:spacing w:after="120"/>
      </w:pPr>
      <w:r>
        <w:t xml:space="preserve">Each combination (c, i_k, j) where i_k ∈ Affected(r) defines a corridor that is touched by this notification. This is critical: a single RASFF notification may generate multiple corridor signals because the product may have been distributed to multiple countries.</w:t>
      </w:r>
    </w:p>
    <w:p>
      <w:pPr>
        <w:spacing w:after="200"/>
      </w:pPr>
    </w:p>
    <w:p>
      <w:pPr>
        <w:spacing w:after="120"/>
      </w:pPr>
      <w:r>
        <w:rPr>
          <w:b/>
          <w:bCs/>
        </w:rPr>
        <w:t xml:space="preserve">Example from your data:</w:t>
      </w:r>
    </w:p>
    <w:p>
      <w:pPr>
        <w:spacing w:after="120"/>
      </w:pPr>
      <w:r>
        <w:t xml:space="preserve">RASFF 2026.0053: Zearalenone in organic corn from France. Attention countries: Belgium, Estonia, France, Morocco, Portugal, Romania, Spain. This single notification generates 7 corridors (organic_corn, BE, FR), (organic_corn, EE, FR), (organic_corn, FR, FR), etc., each of which has its own dependency profile, consumption characteristics, and trade volume.</w:t>
      </w:r>
    </w:p>
    <w:p>
      <w:r>
        <w:br w:type="page"/>
      </w:r>
    </w:p>
    <w:p>
      <w:pPr>
        <w:pStyle w:val="Heading2"/>
      </w:pPr>
      <w:r>
        <w:t xml:space="preserve">4.2 Severity Weighting</w:t>
      </w:r>
    </w:p>
    <w:p>
      <w:pPr>
        <w:spacing w:after="120"/>
      </w:pPr>
      <w:r>
        <w:t xml:space="preserve">Not all RASFF notifications represent equal risk. The system assigns severity weights based on two dimensions from your data: the notification classification and the risk decision.</w:t>
      </w:r>
    </w:p>
    <w:p>
      <w:pPr>
        <w:spacing w:after="200"/>
      </w:pPr>
    </w:p>
    <w:p>
      <w:pPr>
        <w:spacing w:after="120"/>
      </w:pPr>
      <w:r>
        <w:rPr>
          <w:b/>
          <w:bCs/>
        </w:rPr>
        <w:t xml:space="preserve">Classification weight (W_class):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W_class</w:t>
            </w:r>
          </w:p>
        </w:tc>
        <w:tc>
          <w:tcPr>
            <w:tcW w:type="dxa" w:w="4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notification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is on the market; immediate health risk possible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information notification for follow-up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Requires investigation; product may be on the market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notification for attention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 product may not have reached the market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border rejection notification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Caught at the border (detection worked), but indicates origin-level problem</w:t>
            </w:r>
          </w:p>
        </w:tc>
      </w:tr>
    </w:tbl>
    <w:p>
      <w:pPr>
        <w:spacing w:after="200"/>
      </w:pPr>
    </w:p>
    <w:p>
      <w:pPr>
        <w:spacing w:after="120"/>
      </w:pPr>
      <w:r>
        <w:rPr>
          <w:b/>
          <w:bCs/>
        </w:rPr>
        <w:t xml:space="preserve">Risk decision weight (W_risk):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 Decision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W_risk</w:t>
            </w:r>
          </w:p>
        </w:tc>
        <w:tc>
          <w:tcPr>
            <w:tcW w:type="dxa" w:w="4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serious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Confirmed serious health risk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potentially serious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Health risk under certain conditions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potential risk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not confirmed but cannot be excluded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serious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Minor or no health impact</w:t>
            </w:r>
          </w:p>
        </w:tc>
      </w:tr>
    </w:tbl>
    <w:p>
      <w:pPr>
        <w:spacing w:after="200"/>
      </w:pPr>
    </w:p>
    <w:p>
      <w:pPr>
        <w:spacing w:after="120"/>
      </w:pPr>
      <w:r>
        <w:t xml:space="preserve">The combined severity weight for notification r is:</w:t>
      </w:r>
    </w:p>
    <w:p>
      <w:pPr>
        <w:shd w:fill="F2F2F2" w:val="clear"/>
        <w:spacing w:after="160" w:before="160"/>
        <w:ind w:left="720"/>
      </w:pPr>
      <w:r>
        <w:rPr>
          <w:rFonts w:ascii="Courier New" w:cs="Courier New" w:eastAsia="Courier New" w:hAnsi="Courier New"/>
          <w:b/>
          <w:bCs/>
          <w:color w:val="111111"/>
          <w:sz w:val="22"/>
          <w:szCs w:val="22"/>
        </w:rPr>
        <w:t xml:space="preserve">S(r) = W_class(r) × W_risk(r)</w:t>
      </w:r>
    </w:p>
    <w:p>
      <w:pPr>
        <w:spacing w:after="120"/>
      </w:pPr>
      <w:r>
        <w:t xml:space="preserve">This yields a range of [0.1, 1.0]. The maximum (1.0) is an alert notification with serious risk. The minimum in practice from your data would be an information-for-attention with potential risk (0.5 × 0.4 = 0.2).</w:t>
      </w:r>
    </w:p>
    <w:p>
      <w:r>
        <w:br w:type="page"/>
      </w:r>
    </w:p>
    <w:p>
      <w:pPr>
        <w:pStyle w:val="Heading2"/>
      </w:pPr>
      <w:r>
        <w:t xml:space="preserve">4.3 Hazard Intensity Score for a Corridor</w:t>
      </w:r>
    </w:p>
    <w:p>
      <w:pPr>
        <w:spacing w:after="120"/>
      </w:pPr>
      <w:r>
        <w:t xml:space="preserve">The Hazard Intensity Score (HIS) for a corridor (c, i, j) aggregates all RASFF notifications over a defined time window, weighted by severity and recency:</w:t>
      </w:r>
    </w:p>
    <w:p>
      <w:pPr>
        <w:shd w:fill="F2F2F2" w:val="clear"/>
        <w:spacing w:after="160" w:before="160"/>
        <w:ind w:left="720"/>
      </w:pPr>
      <w:r>
        <w:rPr>
          <w:rFonts w:ascii="Courier New" w:cs="Courier New" w:eastAsia="Courier New" w:hAnsi="Courier New"/>
          <w:b/>
          <w:bCs/>
          <w:color w:val="111111"/>
          <w:sz w:val="22"/>
          <w:szCs w:val="22"/>
        </w:rPr>
        <w:t xml:space="preserve">HIS(c,i,j,t) = Σ_{r ∈ R(c,i,j)} S(r) × α^(t - t_r)</w:t>
      </w:r>
    </w:p>
    <w:p>
      <w:pPr>
        <w:spacing w:after="120"/>
      </w:pPr>
      <w:r>
        <w:t xml:space="preserve">where:</w:t>
      </w:r>
    </w:p>
    <w:p>
      <w:pPr>
        <w:spacing w:after="60"/>
        <w:ind w:left="1080"/>
      </w:pPr>
      <w:r>
        <w:rPr>
          <w:rFonts w:ascii="Courier New" w:cs="Courier New" w:eastAsia="Courier New" w:hAnsi="Courier New"/>
          <w:b/>
          <w:bCs/>
          <w:sz w:val="20"/>
          <w:szCs w:val="20"/>
        </w:rPr>
        <w:t xml:space="preserve">R(c,i,j) </w:t>
      </w:r>
      <w:r>
        <w:rPr>
          <w:sz w:val="20"/>
          <w:szCs w:val="20"/>
        </w:rPr>
        <w:t xml:space="preserve">= Set of all RASFF notifications touching corridor (c,i,j)</w:t>
      </w:r>
    </w:p>
    <w:p>
      <w:pPr>
        <w:spacing w:after="60"/>
        <w:ind w:left="1080"/>
      </w:pPr>
      <w:r>
        <w:rPr>
          <w:rFonts w:ascii="Courier New" w:cs="Courier New" w:eastAsia="Courier New" w:hAnsi="Courier New"/>
          <w:b/>
          <w:bCs/>
          <w:sz w:val="20"/>
          <w:szCs w:val="20"/>
        </w:rPr>
        <w:t xml:space="preserve">S(r) </w:t>
      </w:r>
      <w:r>
        <w:rPr>
          <w:sz w:val="20"/>
          <w:szCs w:val="20"/>
        </w:rPr>
        <w:t xml:space="preserve">= Severity weight of notification r (as defined above)</w:t>
      </w:r>
    </w:p>
    <w:p>
      <w:pPr>
        <w:spacing w:after="60"/>
        <w:ind w:left="1080"/>
      </w:pPr>
      <w:r>
        <w:rPr>
          <w:rFonts w:ascii="Courier New" w:cs="Courier New" w:eastAsia="Courier New" w:hAnsi="Courier New"/>
          <w:b/>
          <w:bCs/>
          <w:sz w:val="20"/>
          <w:szCs w:val="20"/>
        </w:rPr>
        <w:t xml:space="preserve">t_r </w:t>
      </w:r>
      <w:r>
        <w:rPr>
          <w:sz w:val="20"/>
          <w:szCs w:val="20"/>
        </w:rPr>
        <w:t xml:space="preserve">= Time period of notification r</w:t>
      </w:r>
    </w:p>
    <w:p>
      <w:pPr>
        <w:spacing w:after="60"/>
        <w:ind w:left="1080"/>
      </w:pPr>
      <w:r>
        <w:rPr>
          <w:rFonts w:ascii="Courier New" w:cs="Courier New" w:eastAsia="Courier New" w:hAnsi="Courier New"/>
          <w:b/>
          <w:bCs/>
          <w:sz w:val="20"/>
          <w:szCs w:val="20"/>
        </w:rPr>
        <w:t xml:space="preserve">t </w:t>
      </w:r>
      <w:r>
        <w:rPr>
          <w:sz w:val="20"/>
          <w:szCs w:val="20"/>
        </w:rPr>
        <w:t xml:space="preserve">= Current time period</w:t>
      </w:r>
    </w:p>
    <w:p>
      <w:pPr>
        <w:spacing w:after="60"/>
        <w:ind w:left="1080"/>
      </w:pPr>
      <w:r>
        <w:rPr>
          <w:rFonts w:ascii="Courier New" w:cs="Courier New" w:eastAsia="Courier New" w:hAnsi="Courier New"/>
          <w:b/>
          <w:bCs/>
          <w:sz w:val="20"/>
          <w:szCs w:val="20"/>
        </w:rPr>
        <w:t xml:space="preserve">α </w:t>
      </w:r>
      <w:r>
        <w:rPr>
          <w:sz w:val="20"/>
          <w:szCs w:val="20"/>
        </w:rPr>
        <w:t xml:space="preserve">= Temporal decay parameter, 0 &lt; α &lt; 1</w:t>
      </w:r>
    </w:p>
    <w:p>
      <w:pPr>
        <w:spacing w:after="200"/>
      </w:pPr>
    </w:p>
    <w:p>
      <w:pPr>
        <w:spacing w:after="120"/>
      </w:pPr>
      <w:r>
        <w:t xml:space="preserve">The decay parameter α ensures that more recent notifications contribute more to the score than older ones. A notification from last month matters more than one from 3 years ago. The choice of α determines the half-life of a notification’s influence:</w:t>
      </w:r>
    </w:p>
    <w:p>
      <w:pPr>
        <w:spacing w:after="160" w:before="160"/>
        <w:ind w:left="720"/>
      </w:pPr>
      <w:r>
        <w:rPr>
          <w:rFonts w:ascii="Courier New" w:cs="Courier New" w:eastAsia="Courier New" w:hAnsi="Courier New"/>
          <w:color w:val="333333"/>
          <w:sz w:val="22"/>
          <w:szCs w:val="22"/>
        </w:rPr>
        <w:t xml:space="preserve">Half-life (in periods) = -ln(2) / ln(α)</w:t>
      </w:r>
    </w:p>
    <w:p>
      <w:pPr>
        <w:spacing w:after="200"/>
      </w:pPr>
    </w:p>
    <w:p>
      <w:pPr>
        <w:spacing w:after="120"/>
      </w:pPr>
      <w:r>
        <w:t xml:space="preserve">Recommended starting values (to be calibrated):</w:t>
      </w:r>
    </w:p>
    <w:p>
      <w:pPr>
        <w:pStyle w:val="ListParagraph"/>
        <w:numPr>
          <w:ilvl w:val="0"/>
          <w:numId w:val="2"/>
        </w:numPr>
        <w:spacing w:after="60"/>
      </w:pPr>
      <w:r>
        <w:t xml:space="preserve">α = 0.95 (monthly periods): half-life ≈ 13.5 months. A notification loses half its weight after about 14 months.</w:t>
      </w:r>
    </w:p>
    <w:p>
      <w:pPr>
        <w:pStyle w:val="ListParagraph"/>
        <w:numPr>
          <w:ilvl w:val="0"/>
          <w:numId w:val="2"/>
        </w:numPr>
        <w:spacing w:after="60"/>
      </w:pPr>
      <w:r>
        <w:t xml:space="preserve">α = 0.85 (monthly periods): half-life ≈ 4.3 months. More aggressive decay for fast-moving commodities.</w:t>
      </w:r>
    </w:p>
    <w:p>
      <w:pPr>
        <w:spacing w:after="200"/>
      </w:pPr>
    </w:p>
    <w:p>
      <w:pPr>
        <w:spacing w:after="120"/>
      </w:pPr>
      <w:r>
        <w:t xml:space="preserve">The HIS is intentionally not normalised to [0,1] at this stage because corridors with many high-severity notifications should produce scores that are unbounded above—normalisation happens at the composite scoring stage.</w:t>
      </w:r>
    </w:p>
    <w:p>
      <w:r>
        <w:br w:type="page"/>
      </w:r>
    </w:p>
    <w:p>
      <w:pPr>
        <w:pStyle w:val="Heading2"/>
      </w:pPr>
      <w:r>
        <w:t xml:space="preserve">4.4 Hazard Diversity Index</w:t>
      </w:r>
    </w:p>
    <w:p>
      <w:pPr>
        <w:spacing w:after="120"/>
      </w:pPr>
      <w:r>
        <w:t xml:space="preserve">A corridor where notifications cover multiple different hazard types is potentially more concerning than one with a single recurring hazard, because it suggests systemic quality failures rather than a specific controllable problem. The Hazard Diversity Index uses Shannon entropy:</w:t>
      </w:r>
    </w:p>
    <w:p>
      <w:pPr>
        <w:shd w:fill="F2F2F2" w:val="clear"/>
        <w:spacing w:after="160" w:before="160"/>
        <w:ind w:left="720"/>
      </w:pPr>
      <w:r>
        <w:rPr>
          <w:rFonts w:ascii="Courier New" w:cs="Courier New" w:eastAsia="Courier New" w:hAnsi="Courier New"/>
          <w:b/>
          <w:bCs/>
          <w:color w:val="111111"/>
          <w:sz w:val="22"/>
          <w:szCs w:val="22"/>
        </w:rPr>
        <w:t xml:space="preserve">HDI(c,i,j) = -Σ_{h ∈ H} p_h × ln(p_h)</w:t>
      </w:r>
    </w:p>
    <w:p>
      <w:pPr>
        <w:spacing w:after="120"/>
      </w:pPr>
      <w:r>
        <w:t xml:space="preserve">where:</w:t>
      </w:r>
    </w:p>
    <w:p>
      <w:pPr>
        <w:spacing w:after="60"/>
        <w:ind w:left="1080"/>
      </w:pPr>
      <w:r>
        <w:rPr>
          <w:rFonts w:ascii="Courier New" w:cs="Courier New" w:eastAsia="Courier New" w:hAnsi="Courier New"/>
          <w:b/>
          <w:bCs/>
          <w:sz w:val="20"/>
          <w:szCs w:val="20"/>
        </w:rPr>
        <w:t xml:space="preserve">p_h </w:t>
      </w:r>
      <w:r>
        <w:rPr>
          <w:sz w:val="20"/>
          <w:szCs w:val="20"/>
        </w:rPr>
        <w:t xml:space="preserve">= Proportion of notifications for corridor (c,i,j) that have hazard type h</w:t>
      </w:r>
    </w:p>
    <w:p>
      <w:pPr>
        <w:spacing w:after="200"/>
      </w:pPr>
    </w:p>
    <w:p>
      <w:pPr>
        <w:spacing w:after="120"/>
      </w:pPr>
      <w:r>
        <w:t xml:space="preserve">HDI = 0 when all notifications have the same hazard type (no diversity). HDI = ln(|H|) when all hazard types are equally represented (maximum diversity). Normalise to [0,1]:</w:t>
      </w:r>
    </w:p>
    <w:p>
      <w:pPr>
        <w:spacing w:after="160" w:before="160"/>
        <w:ind w:left="720"/>
      </w:pPr>
      <w:r>
        <w:rPr>
          <w:rFonts w:ascii="Courier New" w:cs="Courier New" w:eastAsia="Courier New" w:hAnsi="Courier New"/>
          <w:color w:val="333333"/>
          <w:sz w:val="22"/>
          <w:szCs w:val="22"/>
        </w:rPr>
        <w:t xml:space="preserve">HDI_norm(c,i,j) = HDI(c,i,j) / ln(|H|)</w:t>
      </w:r>
    </w:p>
    <w:p>
      <w:pPr>
        <w:spacing w:after="200"/>
      </w:pPr>
    </w:p>
    <w:p>
      <w:pPr>
        <w:pStyle w:val="Heading2"/>
      </w:pPr>
      <w:r>
        <w:t xml:space="preserve">4.5 Detection Gap Indicator</w:t>
      </w:r>
    </w:p>
    <w:p>
      <w:pPr>
        <w:spacing w:after="120"/>
      </w:pPr>
      <w:r>
        <w:t xml:space="preserve">A corridor with high trade volume but zero RASFF notifications is not necessarily safe—it may be under-inspected. The Detection Gap Indicator flags corridors where the inspection coverage is disproportionately low relative to trade volume:</w:t>
      </w:r>
    </w:p>
    <w:p>
      <w:pPr>
        <w:shd w:fill="F2F2F2" w:val="clear"/>
        <w:spacing w:after="160" w:before="160"/>
        <w:ind w:left="720"/>
      </w:pPr>
      <w:r>
        <w:rPr>
          <w:rFonts w:ascii="Courier New" w:cs="Courier New" w:eastAsia="Courier New" w:hAnsi="Courier New"/>
          <w:b/>
          <w:bCs/>
          <w:color w:val="111111"/>
          <w:sz w:val="22"/>
          <w:szCs w:val="22"/>
        </w:rPr>
        <w:t xml:space="preserve">DGI(c,i,j,t) = [M(c,i,j,t) / M(c,i,*,t)] - [R(c,i,j,t) / R(c,i,*,t)]</w:t>
      </w:r>
    </w:p>
    <w:p>
      <w:pPr>
        <w:spacing w:after="120"/>
      </w:pPr>
      <w:r>
        <w:t xml:space="preserve">where R(c,i,*,t) is the total notification count for commodity c imported by country i from all origins.</w:t>
      </w:r>
    </w:p>
    <w:p>
      <w:pPr>
        <w:spacing w:after="200"/>
      </w:pPr>
    </w:p>
    <w:p>
      <w:pPr>
        <w:spacing w:after="120"/>
      </w:pPr>
      <w:r>
        <w:t xml:space="preserve">If DGI &gt; 0, this origin supplies a larger share of trade than it accounts for in notifications—either it is genuinely cleaner, or it is under-inspected. If DGI &lt; 0, this origin generates more notifications relative to its trade share—it is over-represented in problems.</w:t>
      </w:r>
    </w:p>
    <w:p>
      <w:pPr>
        <w:spacing w:after="200"/>
      </w:pPr>
    </w:p>
    <w:p>
      <w:pPr>
        <w:spacing w:after="120"/>
      </w:pPr>
      <w:r>
        <w:t xml:space="preserve">A high positive DGI combined with high BDI (high dependency on this origin) is a flag for potential under-detection.</w:t>
      </w:r>
    </w:p>
    <w:p>
      <w:pPr>
        <w:spacing w:after="120"/>
      </w:pPr>
      <w:r>
        <w:t xml:space="preserve">Note: DGI is undefined when R(c,i,*,t) = 0 (no notifications for this commodity to country i from any origin). In this case, the indicator cannot be computed and should be flagged as “insufficient data.”</w:t>
      </w:r>
    </w:p>
    <w:p>
      <w:r>
        <w:br w:type="page"/>
      </w:r>
    </w:p>
    <w:p>
      <w:pPr>
        <w:pStyle w:val="Heading1"/>
      </w:pPr>
      <w:r>
        <w:t xml:space="preserve">5. Trade Flow Analysis Models</w:t>
      </w:r>
    </w:p>
    <w:p>
      <w:pPr>
        <w:spacing w:after="120"/>
      </w:pPr>
      <w:r>
        <w:t xml:space="preserve">These models operate on the UN Comtrade data to detect anomalies in trade patterns that may indicate fraudulent activity.</w:t>
      </w:r>
    </w:p>
    <w:p>
      <w:pPr>
        <w:spacing w:after="200"/>
      </w:pPr>
    </w:p>
    <w:p>
      <w:pPr>
        <w:pStyle w:val="Heading2"/>
      </w:pPr>
      <w:r>
        <w:t xml:space="preserve">5.1 Unit Value Analysis</w:t>
      </w:r>
    </w:p>
    <w:p>
      <w:pPr>
        <w:spacing w:after="120"/>
      </w:pPr>
      <w:r>
        <w:t xml:space="preserve">The unit value (price proxy) for a commodity in a corridor is:</w:t>
      </w:r>
    </w:p>
    <w:p>
      <w:pPr>
        <w:shd w:fill="F2F2F2" w:val="clear"/>
        <w:spacing w:after="160" w:before="160"/>
        <w:ind w:left="720"/>
      </w:pPr>
      <w:r>
        <w:rPr>
          <w:rFonts w:ascii="Courier New" w:cs="Courier New" w:eastAsia="Courier New" w:hAnsi="Courier New"/>
          <w:b/>
          <w:bCs/>
          <w:color w:val="111111"/>
          <w:sz w:val="22"/>
          <w:szCs w:val="22"/>
        </w:rPr>
        <w:t xml:space="preserve">UV(c,i,j,t) = V(c,i,j,t) / M(c,i,j,t)</w:t>
      </w:r>
    </w:p>
    <w:p>
      <w:pPr>
        <w:spacing w:after="120"/>
      </w:pPr>
      <w:r>
        <w:t xml:space="preserve">This gives the average price per kilogram. To detect anomalies, compute the z-score relative to the commodity’s cross-origin distribution:</w:t>
      </w:r>
    </w:p>
    <w:p>
      <w:pPr>
        <w:spacing w:after="160" w:before="160"/>
        <w:ind w:left="720"/>
      </w:pPr>
      <w:r>
        <w:rPr>
          <w:rFonts w:ascii="Courier New" w:cs="Courier New" w:eastAsia="Courier New" w:hAnsi="Courier New"/>
          <w:color w:val="333333"/>
          <w:sz w:val="22"/>
          <w:szCs w:val="22"/>
        </w:rPr>
        <w:t xml:space="preserve">μ_UV(c,i,t) = (1/|J|) Σ_j UV(c,i,j,t)    [mean unit value across all origins]</w:t>
      </w:r>
    </w:p>
    <w:p>
      <w:pPr>
        <w:spacing w:after="160" w:before="160"/>
        <w:ind w:left="720"/>
      </w:pPr>
      <w:r>
        <w:rPr>
          <w:rFonts w:ascii="Courier New" w:cs="Courier New" w:eastAsia="Courier New" w:hAnsi="Courier New"/>
          <w:color w:val="333333"/>
          <w:sz w:val="22"/>
          <w:szCs w:val="22"/>
        </w:rPr>
        <w:t xml:space="preserve">σ_UV(c,i,t) = std_dev of UV(c,i,j,t) across all j</w:t>
      </w:r>
    </w:p>
    <w:p>
      <w:pPr>
        <w:shd w:fill="F2F2F2" w:val="clear"/>
        <w:spacing w:after="160" w:before="160"/>
        <w:ind w:left="720"/>
      </w:pPr>
      <w:r>
        <w:rPr>
          <w:rFonts w:ascii="Courier New" w:cs="Courier New" w:eastAsia="Courier New" w:hAnsi="Courier New"/>
          <w:b/>
          <w:bCs/>
          <w:color w:val="111111"/>
          <w:sz w:val="22"/>
          <w:szCs w:val="22"/>
        </w:rPr>
        <w:t xml:space="preserve">Z_UV(c,i,j,t) = [UV(c,i,j,t) - μ_UV(c,i,t)] / σ_UV(c,i,t)</w:t>
      </w:r>
    </w:p>
    <w:p>
      <w:pPr>
        <w:spacing w:after="200"/>
      </w:pPr>
    </w:p>
    <w:p>
      <w:pPr>
        <w:spacing w:after="120"/>
      </w:pPr>
      <w:r>
        <w:t xml:space="preserve">A significantly negative Z_UV (e.g., Z &lt; -2) means this origin is supplying the commodity at a price well below what other origins charge for the same commodity to the same destination. This is a classic fraud signal—it may indicate adulteration, substitution, or mis-declaration of a cheaper product as a more expensive one.</w:t>
      </w:r>
    </w:p>
    <w:p>
      <w:pPr>
        <w:spacing w:after="200"/>
      </w:pPr>
    </w:p>
    <w:p>
      <w:pPr>
        <w:spacing w:after="120"/>
      </w:pPr>
      <w:r>
        <w:t xml:space="preserve">A significantly positive Z_UV (Z &gt; 2) may indicate premium fraud—a product claiming quality attributes (organic, PDO, etc.) that it does not possess, being sold at a premium price.</w:t>
      </w:r>
    </w:p>
    <w:p>
      <w:r>
        <w:br w:type="page"/>
      </w:r>
    </w:p>
    <w:p>
      <w:pPr>
        <w:pStyle w:val="Heading2"/>
      </w:pPr>
      <w:r>
        <w:t xml:space="preserve">5.2 Volume Anomaly Detection</w:t>
      </w:r>
    </w:p>
    <w:p>
      <w:pPr>
        <w:spacing w:after="120"/>
      </w:pPr>
      <w:r>
        <w:t xml:space="preserve">To detect unusual changes in trade volume over time, we use a rolling window approach:</w:t>
      </w:r>
    </w:p>
    <w:p>
      <w:pPr>
        <w:spacing w:after="160" w:before="160"/>
        <w:ind w:left="720"/>
      </w:pPr>
      <w:r>
        <w:rPr>
          <w:rFonts w:ascii="Courier New" w:cs="Courier New" w:eastAsia="Courier New" w:hAnsi="Courier New"/>
          <w:color w:val="333333"/>
          <w:sz w:val="22"/>
          <w:szCs w:val="22"/>
        </w:rPr>
        <w:t xml:space="preserve">μ_M(c,i,j) = mean of M(c,i,j,t) over t ∈ {t-k, ..., t-1}    [k-period rolling mean]</w:t>
      </w:r>
    </w:p>
    <w:p>
      <w:pPr>
        <w:spacing w:after="160" w:before="160"/>
        <w:ind w:left="720"/>
      </w:pPr>
      <w:r>
        <w:rPr>
          <w:rFonts w:ascii="Courier New" w:cs="Courier New" w:eastAsia="Courier New" w:hAnsi="Courier New"/>
          <w:color w:val="333333"/>
          <w:sz w:val="22"/>
          <w:szCs w:val="22"/>
        </w:rPr>
        <w:t xml:space="preserve">σ_M(c,i,j) = std_dev of M(c,i,j,t) over t ∈ {t-k, ..., t-1}</w:t>
      </w:r>
    </w:p>
    <w:p>
      <w:pPr>
        <w:shd w:fill="F2F2F2" w:val="clear"/>
        <w:spacing w:after="160" w:before="160"/>
        <w:ind w:left="720"/>
      </w:pPr>
      <w:r>
        <w:rPr>
          <w:rFonts w:ascii="Courier New" w:cs="Courier New" w:eastAsia="Courier New" w:hAnsi="Courier New"/>
          <w:b/>
          <w:bCs/>
          <w:color w:val="111111"/>
          <w:sz w:val="22"/>
          <w:szCs w:val="22"/>
        </w:rPr>
        <w:t xml:space="preserve">Z_M(c,i,j,t) = [M(c,i,j,t) - μ_M(c,i,j)] / σ_M(c,i,j)</w:t>
      </w:r>
    </w:p>
    <w:p>
      <w:pPr>
        <w:spacing w:after="200"/>
      </w:pPr>
    </w:p>
    <w:p>
      <w:pPr>
        <w:spacing w:after="120"/>
      </w:pPr>
      <w:r>
        <w:t xml:space="preserve">Z_M &gt; 2 indicates a trade surge: this corridor is receiving significantly more product than its historical norm. In the absence of a documented market event (e.g., a contract change, a supply crisis elsewhere), this may indicate re-routing of product to avoid detection in other corridors, fraudulent inflation of trade volumes, or origin laundering (product from a flagged origin being routed through this origin).</w:t>
      </w:r>
    </w:p>
    <w:p>
      <w:pPr>
        <w:spacing w:after="200"/>
      </w:pPr>
    </w:p>
    <w:p>
      <w:pPr>
        <w:pStyle w:val="Heading2"/>
      </w:pPr>
      <w:r>
        <w:t xml:space="preserve">5.3 Mirror Trade Analysis</w:t>
      </w:r>
    </w:p>
    <w:p>
      <w:pPr>
        <w:spacing w:after="120"/>
      </w:pPr>
      <w:r>
        <w:t xml:space="preserve">Trade data is reported by both the importer and the exporter. Discrepancies between these two reports can indicate fraud. The Mirror Trade Discrepancy for a corridor is:</w:t>
      </w:r>
    </w:p>
    <w:p>
      <w:pPr>
        <w:shd w:fill="F2F2F2" w:val="clear"/>
        <w:spacing w:after="160" w:before="160"/>
        <w:ind w:left="720"/>
      </w:pPr>
      <w:r>
        <w:rPr>
          <w:rFonts w:ascii="Courier New" w:cs="Courier New" w:eastAsia="Courier New" w:hAnsi="Courier New"/>
          <w:b/>
          <w:bCs/>
          <w:color w:val="111111"/>
          <w:sz w:val="22"/>
          <w:szCs w:val="22"/>
        </w:rPr>
        <w:t xml:space="preserve">MTD(c,i,j,t) = |M_reported_by_i(c,i,j,t) - X_reported_by_j(c,j,i,t)| / max(M_reported_by_i, X_reported_by_j)</w:t>
      </w:r>
    </w:p>
    <w:p>
      <w:pPr>
        <w:spacing w:after="200"/>
      </w:pPr>
    </w:p>
    <w:p>
      <w:pPr>
        <w:spacing w:after="120"/>
      </w:pPr>
      <w:r>
        <w:t xml:space="preserve">where M_reported_by_i is what country i reports importing from j, and X_reported_by_j is what country j reports exporting to i.</w:t>
      </w:r>
    </w:p>
    <w:p>
      <w:pPr>
        <w:spacing w:after="200"/>
      </w:pPr>
    </w:p>
    <w:p>
      <w:pPr>
        <w:spacing w:after="120"/>
      </w:pPr>
      <w:r>
        <w:t xml:space="preserve">Some discrepancy is normal (different valuation methods: CIF for imports, FOB for exports; timing differences; statistical thresholds). Typical legitimate discrepancy is in the range of 5–15%. Discrepancies exceeding 30% warrant investigation. Persistent large discrepancies over multiple periods for the same corridor are a strong fraud signal.</w:t>
      </w:r>
    </w:p>
    <w:p>
      <w:pPr>
        <w:spacing w:after="200"/>
      </w:pPr>
    </w:p>
    <w:p>
      <w:pPr>
        <w:spacing w:after="120"/>
      </w:pPr>
      <w:r>
        <w:t xml:space="preserve">Note: Comtrade data quality varies by country. Not all countries report exports with the same granularity as imports. This metric is most reliable for corridors where both the importer and exporter have strong statistical systems.</w:t>
      </w:r>
    </w:p>
    <w:p>
      <w:r>
        <w:br w:type="page"/>
      </w:r>
    </w:p>
    <w:p>
      <w:pPr>
        <w:pStyle w:val="Heading2"/>
      </w:pPr>
      <w:r>
        <w:t xml:space="preserve">5.4 Trade Network Concentration Shift</w:t>
      </w:r>
    </w:p>
    <w:p>
      <w:pPr>
        <w:spacing w:after="120"/>
      </w:pPr>
      <w:r>
        <w:t xml:space="preserve">To detect re-routing at the system level, monitor how the import concentration structure changes over time:</w:t>
      </w:r>
    </w:p>
    <w:p>
      <w:pPr>
        <w:shd w:fill="F2F2F2" w:val="clear"/>
        <w:spacing w:after="160" w:before="160"/>
        <w:ind w:left="720"/>
      </w:pPr>
      <w:r>
        <w:rPr>
          <w:rFonts w:ascii="Courier New" w:cs="Courier New" w:eastAsia="Courier New" w:hAnsi="Courier New"/>
          <w:b/>
          <w:bCs/>
          <w:color w:val="111111"/>
          <w:sz w:val="22"/>
          <w:szCs w:val="22"/>
        </w:rPr>
        <w:t xml:space="preserve">ΔHHI(c,i,t) = HHI(c,i,t) - HHI(c,i,t-1)</w:t>
      </w:r>
    </w:p>
    <w:p>
      <w:pPr>
        <w:spacing w:after="200"/>
      </w:pPr>
    </w:p>
    <w:p>
      <w:pPr>
        <w:spacing w:after="120"/>
      </w:pPr>
      <w:r>
        <w:t xml:space="preserve">A sudden increase in HHI means the import market has become more concentrated (fewer origins dominating). Combined with a new or rapidly growing corridor appearing simultaneously, this may indicate that product is being re-routed through a new intermediary.</w:t>
      </w:r>
    </w:p>
    <w:p>
      <w:pPr>
        <w:spacing w:after="200"/>
      </w:pPr>
    </w:p>
    <w:p>
      <w:pPr>
        <w:spacing w:after="120"/>
      </w:pPr>
      <w:r>
        <w:t xml:space="preserve">Similarly, track individual origin shares over time:</w:t>
      </w:r>
    </w:p>
    <w:p>
      <w:pPr>
        <w:spacing w:after="160" w:before="160"/>
        <w:ind w:left="720"/>
      </w:pPr>
      <w:r>
        <w:rPr>
          <w:rFonts w:ascii="Courier New" w:cs="Courier New" w:eastAsia="Courier New" w:hAnsi="Courier New"/>
          <w:color w:val="333333"/>
          <w:sz w:val="22"/>
          <w:szCs w:val="22"/>
        </w:rPr>
        <w:t xml:space="preserve">ΔOCS(c,i,j,t) = OCS(c,i,j,t) - OCS(c,i,j,t-1)</w:t>
      </w:r>
    </w:p>
    <w:p>
      <w:pPr>
        <w:spacing w:after="120"/>
      </w:pPr>
      <w:r>
        <w:t xml:space="preserve">A rapid increase in OCS for one origin, especially a new or previously minor origin, while OCS for a traditionally dominant origin decreases, is a structural shift that warrants investigation.</w:t>
      </w:r>
    </w:p>
    <w:p>
      <w:r>
        <w:br w:type="page"/>
      </w:r>
    </w:p>
    <w:p>
      <w:pPr>
        <w:pStyle w:val="Heading1"/>
      </w:pPr>
      <w:r>
        <w:t xml:space="preserve">6. Origin–Attention Country Relationship Model</w:t>
      </w:r>
    </w:p>
    <w:p>
      <w:pPr>
        <w:spacing w:after="120"/>
      </w:pPr>
      <w:r>
        <w:t xml:space="preserve">This section formalises the relationship between origin countries and the attention/follow-up countries identified in RASFF notifications. This is the network model that captures how hazard exposure propagates through the EU’s trade system.</w:t>
      </w:r>
    </w:p>
    <w:p>
      <w:pPr>
        <w:spacing w:after="200"/>
      </w:pPr>
    </w:p>
    <w:p>
      <w:pPr>
        <w:pStyle w:val="Heading2"/>
      </w:pPr>
      <w:r>
        <w:t xml:space="preserve">6.1 Exposure Network as a Directed Graph</w:t>
      </w:r>
    </w:p>
    <w:p>
      <w:pPr>
        <w:spacing w:after="120"/>
      </w:pPr>
      <w:r>
        <w:t xml:space="preserve">Define a directed weighted graph G = (V, E) where:</w:t>
      </w:r>
    </w:p>
    <w:p>
      <w:pPr>
        <w:spacing w:after="60"/>
        <w:ind w:left="1080"/>
      </w:pPr>
      <w:r>
        <w:rPr>
          <w:rFonts w:ascii="Courier New" w:cs="Courier New" w:eastAsia="Courier New" w:hAnsi="Courier New"/>
          <w:b/>
          <w:bCs/>
          <w:sz w:val="20"/>
          <w:szCs w:val="20"/>
        </w:rPr>
        <w:t xml:space="preserve">V </w:t>
      </w:r>
      <w:r>
        <w:rPr>
          <w:sz w:val="20"/>
          <w:szCs w:val="20"/>
        </w:rPr>
        <w:t xml:space="preserve">= Set of all countries (both origins O and destinations N)</w:t>
      </w:r>
    </w:p>
    <w:p>
      <w:pPr>
        <w:spacing w:after="60"/>
        <w:ind w:left="1080"/>
      </w:pPr>
      <w:r>
        <w:rPr>
          <w:rFonts w:ascii="Courier New" w:cs="Courier New" w:eastAsia="Courier New" w:hAnsi="Courier New"/>
          <w:b/>
          <w:bCs/>
          <w:sz w:val="20"/>
          <w:szCs w:val="20"/>
        </w:rPr>
        <w:t xml:space="preserve">E </w:t>
      </w:r>
      <w:r>
        <w:rPr>
          <w:sz w:val="20"/>
          <w:szCs w:val="20"/>
        </w:rPr>
        <w:t xml:space="preserve">= Set of directed edges. An edge (j → i) exists if origin j has triggered a RASFF notification where country i appeared as notifier, attention, or follow-up.</w:t>
      </w:r>
    </w:p>
    <w:p>
      <w:pPr>
        <w:spacing w:after="200"/>
      </w:pPr>
    </w:p>
    <w:p>
      <w:pPr>
        <w:spacing w:after="120"/>
      </w:pPr>
      <w:r>
        <w:t xml:space="preserve">Each edge carries multiple weights:</w:t>
      </w:r>
    </w:p>
    <w:p>
      <w:pPr>
        <w:spacing w:after="160" w:before="160"/>
        <w:ind w:left="720"/>
      </w:pPr>
      <w:r>
        <w:rPr>
          <w:rFonts w:ascii="Courier New" w:cs="Courier New" w:eastAsia="Courier New" w:hAnsi="Courier New"/>
          <w:color w:val="333333"/>
          <w:sz w:val="22"/>
          <w:szCs w:val="22"/>
        </w:rPr>
        <w:t xml:space="preserve">w_trade(j,i,c,t)  = M(c,i,j,t)           [trade volume in the corridor]</w:t>
      </w:r>
    </w:p>
    <w:p>
      <w:pPr>
        <w:spacing w:after="160" w:before="160"/>
        <w:ind w:left="720"/>
      </w:pPr>
      <w:r>
        <w:rPr>
          <w:rFonts w:ascii="Courier New" w:cs="Courier New" w:eastAsia="Courier New" w:hAnsi="Courier New"/>
          <w:color w:val="333333"/>
          <w:sz w:val="22"/>
          <w:szCs w:val="22"/>
        </w:rPr>
        <w:t xml:space="preserve">w_hazard(j,i,c,t) = HIS(c,i,j,t)          [hazard intensity score]</w:t>
      </w:r>
    </w:p>
    <w:p>
      <w:pPr>
        <w:spacing w:after="160" w:before="160"/>
        <w:ind w:left="720"/>
      </w:pPr>
      <w:r>
        <w:rPr>
          <w:rFonts w:ascii="Courier New" w:cs="Courier New" w:eastAsia="Courier New" w:hAnsi="Courier New"/>
          <w:color w:val="333333"/>
          <w:sz w:val="22"/>
          <w:szCs w:val="22"/>
        </w:rPr>
        <w:t xml:space="preserve">w_dep(j,i,c,t)    = BDI(c,i,j,t)          [bilateral dependency]</w:t>
      </w:r>
    </w:p>
    <w:p>
      <w:pPr>
        <w:spacing w:after="200"/>
      </w:pPr>
    </w:p>
    <w:p>
      <w:pPr>
        <w:spacing w:after="120"/>
      </w:pPr>
      <w:r>
        <w:t xml:space="preserve">This graph allows us to perform network-level analyses that are not possible from individual corridor assessments.</w:t>
      </w:r>
    </w:p>
    <w:p>
      <w:r>
        <w:br w:type="page"/>
      </w:r>
    </w:p>
    <w:p>
      <w:pPr>
        <w:pStyle w:val="Heading2"/>
      </w:pPr>
      <w:r>
        <w:t xml:space="preserve">6.2 Origin Risk Propagation Score</w:t>
      </w:r>
    </w:p>
    <w:p>
      <w:pPr>
        <w:spacing w:after="120"/>
      </w:pPr>
      <w:r>
        <w:t xml:space="preserve">For an origin country j, how broadly does its food fraud risk propagate across the EU? The Origin Risk Propagation Score measures the breadth and depth of an origin’s impact:</w:t>
      </w:r>
    </w:p>
    <w:p>
      <w:pPr>
        <w:shd w:fill="F2F2F2" w:val="clear"/>
        <w:spacing w:after="160" w:before="160"/>
        <w:ind w:left="720"/>
      </w:pPr>
      <w:r>
        <w:rPr>
          <w:rFonts w:ascii="Courier New" w:cs="Courier New" w:eastAsia="Courier New" w:hAnsi="Courier New"/>
          <w:b/>
          <w:bCs/>
          <w:color w:val="111111"/>
          <w:sz w:val="22"/>
          <w:szCs w:val="22"/>
        </w:rPr>
        <w:t xml:space="preserve">ORPS(j,c,t) = Σ_{i ∈ N} BDI(c,i,j,t) × HIS(c,i,j,t) × PCC(c,i,t)</w:t>
      </w:r>
    </w:p>
    <w:p>
      <w:pPr>
        <w:spacing w:after="200"/>
      </w:pPr>
    </w:p>
    <w:p>
      <w:pPr>
        <w:spacing w:after="120"/>
      </w:pPr>
      <w:r>
        <w:t xml:space="preserve">This sums, across all EU destination countries, the product of how dependent each country is on this origin (BDI), how many hazard signals exist for this corridor (HIS), and how much the destination country’s population consumes this commodity (PCC). The result captures the total population-weighted vulnerability exposure created by this origin for this commodity across the entire EU.</w:t>
      </w:r>
    </w:p>
    <w:p>
      <w:pPr>
        <w:spacing w:after="200"/>
      </w:pPr>
    </w:p>
    <w:p>
      <w:pPr>
        <w:spacing w:after="120"/>
      </w:pPr>
      <w:r>
        <w:t xml:space="preserve">An origin with a high ORPS is one whose food fraud risk would affect many people across many countries. This metric is useful for EU-level priority-setting: which origin-commodity pairs should receive coordinated EU action?</w:t>
      </w:r>
    </w:p>
    <w:p>
      <w:pPr>
        <w:pStyle w:val="Heading2"/>
      </w:pPr>
      <w:r>
        <w:t xml:space="preserve">6.3 Attention Country Exposure Profile</w:t>
      </w:r>
    </w:p>
    <w:p>
      <w:pPr>
        <w:spacing w:after="120"/>
      </w:pPr>
      <w:r>
        <w:t xml:space="preserve">For an attention country i, what is its total inbound fraud exposure across all origins and commodities?</w:t>
      </w:r>
    </w:p>
    <w:p>
      <w:pPr>
        <w:shd w:fill="F2F2F2" w:val="clear"/>
        <w:spacing w:after="160" w:before="160"/>
        <w:ind w:left="720"/>
      </w:pPr>
      <w:r>
        <w:rPr>
          <w:rFonts w:ascii="Courier New" w:cs="Courier New" w:eastAsia="Courier New" w:hAnsi="Courier New"/>
          <w:b/>
          <w:bCs/>
          <w:color w:val="111111"/>
          <w:sz w:val="22"/>
          <w:szCs w:val="22"/>
        </w:rPr>
        <w:t xml:space="preserve">ACEP(i,t) = Σ_c Σ_j BDI(c,i,j,t) × HIS(c,i,j,t) × CRS(c,i,t)</w:t>
      </w:r>
    </w:p>
    <w:p>
      <w:pPr>
        <w:spacing w:after="200"/>
      </w:pPr>
    </w:p>
    <w:p>
      <w:pPr>
        <w:spacing w:after="120"/>
      </w:pPr>
      <w:r>
        <w:t xml:space="preserve">where CRS is the consumption rank score. This gives a single number representing how much total food fraud vulnerability country i faces. Countries with high ACEP need more inspection resources, more laboratory capacity, and more coordination support.</w:t>
      </w:r>
    </w:p>
    <w:p>
      <w:pPr>
        <w:spacing w:after="200"/>
      </w:pPr>
    </w:p>
    <w:p>
      <w:pPr>
        <w:pStyle w:val="Heading2"/>
      </w:pPr>
      <w:r>
        <w:t xml:space="preserve">6.4 Conditional Probability of Hazard Given Trade</w:t>
      </w:r>
    </w:p>
    <w:p>
      <w:pPr>
        <w:spacing w:after="120"/>
      </w:pPr>
      <w:r>
        <w:t xml:space="preserve">For corridors with sufficient RASFF history (at least 10 notifications over 5 years), we can estimate the empirical probability that a shipment in this corridor will trigger a notification:</w:t>
      </w:r>
    </w:p>
    <w:p>
      <w:pPr>
        <w:shd w:fill="F2F2F2" w:val="clear"/>
        <w:spacing w:after="160" w:before="160"/>
        <w:ind w:left="720"/>
      </w:pPr>
      <w:r>
        <w:rPr>
          <w:rFonts w:ascii="Courier New" w:cs="Courier New" w:eastAsia="Courier New" w:hAnsi="Courier New"/>
          <w:b/>
          <w:bCs/>
          <w:color w:val="111111"/>
          <w:sz w:val="22"/>
          <w:szCs w:val="22"/>
        </w:rPr>
        <w:t xml:space="preserve">P_hat(hazard | c,i,j) = R(c,i,j,T) / [M(c,i,j,T) / avg_shipment_size(c)]</w:t>
      </w:r>
    </w:p>
    <w:p>
      <w:pPr>
        <w:spacing w:after="200"/>
      </w:pPr>
    </w:p>
    <w:p>
      <w:pPr>
        <w:spacing w:after="120"/>
      </w:pPr>
      <w:r>
        <w:t xml:space="preserve">where T is the total observation period, and avg_shipment_size is estimated from trade data (total volume divided by number of known shipments or customs declarations, where available). If shipment-level data is not available, this can be approximated using trade value divided by typical transaction size for the commodity.</w:t>
      </w:r>
    </w:p>
    <w:p>
      <w:pPr>
        <w:spacing w:after="200"/>
      </w:pPr>
    </w:p>
    <w:p>
      <w:pPr>
        <w:spacing w:after="120"/>
      </w:pPr>
      <w:r>
        <w:t xml:space="preserve">This probability estimate is inherently a lower bound because it only captures detected hazards (not all fraud is detected). It is useful for comparing corridors: a corridor with P_hat = 0.03 (3% of estimated shipments triggered a notification) is empirically riskier than one with P_hat = 0.001, even if the latter has higher trade volume.</w:t>
      </w:r>
    </w:p>
    <w:p>
      <w:pPr>
        <w:spacing w:after="200"/>
      </w:pPr>
    </w:p>
    <w:p>
      <w:pPr>
        <w:spacing w:after="120"/>
      </w:pPr>
      <w:r>
        <w:rPr>
          <w:b/>
          <w:bCs/>
        </w:rPr>
        <w:t xml:space="preserve">Important caveat:</w:t>
      </w:r>
      <w:r>
        <w:t xml:space="preserve"> This metric should be interpreted with care. A high P_hat may reflect strong inspection in this corridor rather than genuine higher risk. Cross-reference with the Detection Gap Indicator (Section 4.5) to distinguish between “more fraud” and “more detection.”</w:t>
      </w:r>
    </w:p>
    <w:p>
      <w:r>
        <w:br w:type="page"/>
      </w:r>
    </w:p>
    <w:p>
      <w:pPr>
        <w:pStyle w:val="Heading1"/>
      </w:pPr>
      <w:r>
        <w:t xml:space="preserve">7. Composite Vulnerability Scoring</w:t>
      </w:r>
    </w:p>
    <w:p>
      <w:pPr>
        <w:spacing w:after="120"/>
      </w:pPr>
      <w:r>
        <w:t xml:space="preserve">This section defines how the individual model outputs are combined into a composite score. I present multiple approaches because the right choice depends on decisions you make about how the system should behave—I am not going to prescribe a single answer here.</w:t>
      </w:r>
    </w:p>
    <w:p>
      <w:pPr>
        <w:spacing w:after="200"/>
      </w:pPr>
    </w:p>
    <w:p>
      <w:pPr>
        <w:pStyle w:val="Heading2"/>
      </w:pPr>
      <w:r>
        <w:t xml:space="preserve">7.1 Normalisation</w:t>
      </w:r>
    </w:p>
    <w:p>
      <w:pPr>
        <w:spacing w:after="120"/>
      </w:pPr>
      <w:r>
        <w:t xml:space="preserve">Each model output operates on a different scale. Before they can be combined, they must be normalised. There are several defensible approaches:</w:t>
      </w:r>
    </w:p>
    <w:p>
      <w:pPr>
        <w:spacing w:after="200"/>
      </w:pPr>
    </w:p>
    <w:p>
      <w:pPr>
        <w:spacing w:after="120"/>
      </w:pPr>
      <w:r>
        <w:rPr>
          <w:b/>
          <w:bCs/>
        </w:rPr>
        <w:t xml:space="preserve">Option A: Min-Max Normalisation</w:t>
      </w:r>
    </w:p>
    <w:p>
      <w:pPr>
        <w:spacing w:after="160" w:before="160"/>
        <w:ind w:left="720"/>
      </w:pPr>
      <w:r>
        <w:rPr>
          <w:rFonts w:ascii="Courier New" w:cs="Courier New" w:eastAsia="Courier New" w:hAnsi="Courier New"/>
          <w:color w:val="333333"/>
          <w:sz w:val="22"/>
          <w:szCs w:val="22"/>
        </w:rPr>
        <w:t xml:space="preserve">x_norm = (x - x_min) / (x_max - x_min)</w:t>
      </w:r>
    </w:p>
    <w:p>
      <w:pPr>
        <w:spacing w:after="120"/>
      </w:pPr>
      <w:r>
        <w:t xml:space="preserve">Maps to [0,1]. Simple but sensitive to outliers. x_min and x_max should be computed over the full dataset of all corridors, not just the corridor in question.</w:t>
      </w:r>
    </w:p>
    <w:p>
      <w:pPr>
        <w:spacing w:after="200"/>
      </w:pPr>
    </w:p>
    <w:p>
      <w:pPr>
        <w:spacing w:after="120"/>
      </w:pPr>
      <w:r>
        <w:rPr>
          <w:b/>
          <w:bCs/>
        </w:rPr>
        <w:t xml:space="preserve">Option B: Percentile Rank Normalisation</w:t>
      </w:r>
    </w:p>
    <w:p>
      <w:pPr>
        <w:spacing w:after="160" w:before="160"/>
        <w:ind w:left="720"/>
      </w:pPr>
      <w:r>
        <w:rPr>
          <w:rFonts w:ascii="Courier New" w:cs="Courier New" w:eastAsia="Courier New" w:hAnsi="Courier New"/>
          <w:color w:val="333333"/>
          <w:sz w:val="22"/>
          <w:szCs w:val="22"/>
        </w:rPr>
        <w:t xml:space="preserve">x_norm = percentile_rank(x) across all corridors</w:t>
      </w:r>
    </w:p>
    <w:p>
      <w:pPr>
        <w:spacing w:after="120"/>
      </w:pPr>
      <w:r>
        <w:t xml:space="preserve">Maps to [0,1]. Robust to outliers. Interpretation: “this corridor is in the 85th percentile of all corridors for this metric.” This approach is more stable than min-max when the underlying distributions are skewed, which they will be—most corridors are low-risk.</w:t>
      </w:r>
    </w:p>
    <w:p>
      <w:pPr>
        <w:spacing w:after="200"/>
      </w:pPr>
    </w:p>
    <w:p>
      <w:pPr>
        <w:spacing w:after="120"/>
      </w:pPr>
      <w:r>
        <w:rPr>
          <w:b/>
          <w:bCs/>
        </w:rPr>
        <w:t xml:space="preserve">Option C: Log-Transform then Percentile</w:t>
      </w:r>
    </w:p>
    <w:p>
      <w:pPr>
        <w:spacing w:after="160" w:before="160"/>
        <w:ind w:left="720"/>
      </w:pPr>
      <w:r>
        <w:rPr>
          <w:rFonts w:ascii="Courier New" w:cs="Courier New" w:eastAsia="Courier New" w:hAnsi="Courier New"/>
          <w:color w:val="333333"/>
          <w:sz w:val="22"/>
          <w:szCs w:val="22"/>
        </w:rPr>
        <w:t xml:space="preserve">x_norm = percentile_rank(ln(1 + x))</w:t>
      </w:r>
    </w:p>
    <w:p>
      <w:pPr>
        <w:spacing w:after="120"/>
      </w:pPr>
      <w:r>
        <w:t xml:space="preserve">Useful for highly skewed metrics like trade volume and HIS where a small number of corridors dominate.</w:t>
      </w:r>
    </w:p>
    <w:p>
      <w:pPr>
        <w:spacing w:after="200"/>
      </w:pPr>
    </w:p>
    <w:p>
      <w:pPr>
        <w:spacing w:after="120"/>
      </w:pPr>
      <w:r>
        <w:rPr>
          <w:b/>
          <w:bCs/>
        </w:rPr>
        <w:t xml:space="preserve">My recommendation:</w:t>
      </w:r>
      <w:r>
        <w:t xml:space="preserve"> Option B (percentile rank) for all metrics except HIS, where Option C (log-percentile) is more appropriate due to the exponential distribution of notification counts. But this is a decision you should validate with your data once you have a full corridor dataset.</w:t>
      </w:r>
    </w:p>
    <w:p>
      <w:r>
        <w:br w:type="page"/>
      </w:r>
    </w:p>
    <w:p>
      <w:pPr>
        <w:pStyle w:val="Heading2"/>
      </w:pPr>
      <w:r>
        <w:t xml:space="preserve">7.2 Composition Approaches</w:t>
      </w:r>
    </w:p>
    <w:p>
      <w:pPr>
        <w:spacing w:after="120"/>
      </w:pPr>
      <w:r>
        <w:t xml:space="preserve">Once normalised, the component scores need to be combined. Again, multiple approaches:</w:t>
      </w:r>
    </w:p>
    <w:p>
      <w:pPr>
        <w:spacing w:after="200"/>
      </w:pPr>
    </w:p>
    <w:p>
      <w:pPr>
        <w:spacing w:after="120"/>
      </w:pPr>
      <w:r>
        <w:rPr>
          <w:b/>
          <w:bCs/>
        </w:rPr>
        <w:t xml:space="preserve">Approach 1: Weighted Linear Combination</w:t>
      </w:r>
    </w:p>
    <w:p>
      <w:pPr>
        <w:spacing w:after="160" w:before="160"/>
        <w:ind w:left="720"/>
      </w:pPr>
      <w:r>
        <w:rPr>
          <w:rFonts w:ascii="Courier New" w:cs="Courier New" w:eastAsia="Courier New" w:hAnsi="Courier New"/>
          <w:color w:val="333333"/>
          <w:sz w:val="22"/>
          <w:szCs w:val="22"/>
        </w:rPr>
        <w:t xml:space="preserve">CVS = w_1 × HIS_norm + w_2 × SCI_norm + w_3 × CRS_norm + w_4 × TES_norm + ...</w:t>
      </w:r>
    </w:p>
    <w:p>
      <w:pPr>
        <w:spacing w:after="120"/>
      </w:pPr>
      <w:r>
        <w:t xml:space="preserve">This is the simplest. The weights {w_1, ..., w_n} must sum to 1. The problem is compensatory: a very high score on one metric can compensate for a low score on another. A corridor with zero hazard history but extreme dependency would still get a moderate score. Whether this is desirable is a design decision.</w:t>
      </w:r>
    </w:p>
    <w:p>
      <w:pPr>
        <w:spacing w:after="200"/>
      </w:pPr>
    </w:p>
    <w:p>
      <w:pPr>
        <w:spacing w:after="120"/>
      </w:pPr>
      <w:r>
        <w:rPr>
          <w:b/>
          <w:bCs/>
        </w:rPr>
        <w:t xml:space="preserve">Approach 2: Geometric Mean (Non-Compensatory)</w:t>
      </w:r>
    </w:p>
    <w:p>
      <w:pPr>
        <w:spacing w:after="160" w:before="160"/>
        <w:ind w:left="720"/>
      </w:pPr>
      <w:r>
        <w:rPr>
          <w:rFonts w:ascii="Courier New" w:cs="Courier New" w:eastAsia="Courier New" w:hAnsi="Courier New"/>
          <w:color w:val="333333"/>
          <w:sz w:val="22"/>
          <w:szCs w:val="22"/>
        </w:rPr>
        <w:t xml:space="preserve">CVS = ∏_k (x_k_norm)^(w_k)</w:t>
      </w:r>
    </w:p>
    <w:p>
      <w:pPr>
        <w:spacing w:after="120"/>
      </w:pPr>
      <w:r>
        <w:t xml:space="preserve">The geometric mean has the property that if any component is zero, the composite is zero. This is appropriate if you believe that all conditions must be present for a corridor to be vulnerable: a corridor with no imports (SCI = 0) should score zero regardless of hazard history. This is more conservative and may miss emerging risks.</w:t>
      </w:r>
    </w:p>
    <w:p>
      <w:pPr>
        <w:spacing w:after="200"/>
      </w:pPr>
    </w:p>
    <w:p>
      <w:pPr>
        <w:spacing w:after="120"/>
      </w:pPr>
      <w:r>
        <w:rPr>
          <w:b/>
          <w:bCs/>
        </w:rPr>
        <w:t xml:space="preserve">Approach 3: Hybrid (Recommended Starting Point)</w:t>
      </w:r>
    </w:p>
    <w:p>
      <w:pPr>
        <w:spacing w:after="120"/>
      </w:pPr>
      <w:r>
        <w:t xml:space="preserve">Use a structure where some components are necessary conditions and others are additive amplifiers:</w:t>
      </w:r>
    </w:p>
    <w:p>
      <w:pPr>
        <w:shd w:fill="F2F2F2" w:val="clear"/>
        <w:spacing w:after="160" w:before="160"/>
        <w:ind w:left="720"/>
      </w:pPr>
      <w:r>
        <w:rPr>
          <w:rFonts w:ascii="Courier New" w:cs="Courier New" w:eastAsia="Courier New" w:hAnsi="Courier New"/>
          <w:b/>
          <w:bCs/>
          <w:color w:val="111111"/>
          <w:sz w:val="22"/>
          <w:szCs w:val="22"/>
        </w:rPr>
        <w:t xml:space="preserve">CVS = BASE × (1 + AMPLIFIER)</w:t>
      </w:r>
    </w:p>
    <w:p>
      <w:pPr>
        <w:spacing w:after="120"/>
      </w:pPr>
      <w:r>
        <w:t xml:space="preserve">where:</w:t>
      </w:r>
    </w:p>
    <w:p>
      <w:pPr>
        <w:spacing w:after="160" w:before="160"/>
        <w:ind w:left="720"/>
      </w:pPr>
      <w:r>
        <w:rPr>
          <w:rFonts w:ascii="Courier New" w:cs="Courier New" w:eastAsia="Courier New" w:hAnsi="Courier New"/>
          <w:color w:val="333333"/>
          <w:sz w:val="22"/>
          <w:szCs w:val="22"/>
        </w:rPr>
        <w:t xml:space="preserve">BASE = SCI_norm × CRS_norm</w:t>
      </w:r>
    </w:p>
    <w:p>
      <w:pPr>
        <w:spacing w:after="120"/>
      </w:pPr>
      <w:r>
        <w:t xml:space="preserve">The base score requires both structural dependency and consumption demand. If either is zero, the corridor has no structural vulnerability regardless of other factors.</w:t>
      </w:r>
    </w:p>
    <w:p>
      <w:pPr>
        <w:spacing w:after="160" w:before="160"/>
        <w:ind w:left="720"/>
      </w:pPr>
      <w:r>
        <w:rPr>
          <w:rFonts w:ascii="Courier New" w:cs="Courier New" w:eastAsia="Courier New" w:hAnsi="Courier New"/>
          <w:color w:val="333333"/>
          <w:sz w:val="22"/>
          <w:szCs w:val="22"/>
        </w:rPr>
        <w:t xml:space="preserve">AMPLIFIER = w_h × HIS_norm + w_p × PAS_norm + w_sc × SCCS_norm</w:t>
      </w:r>
    </w:p>
    <w:p>
      <w:pPr>
        <w:spacing w:after="120"/>
      </w:pPr>
      <w:r>
        <w:t xml:space="preserve">The amplifier adds risk weight from hazard history, price anomalies, and supply chain complexity. These can increase the score but cannot create vulnerability where the structural conditions (dependency + consumption) do not exist.</w:t>
      </w:r>
    </w:p>
    <w:p>
      <w:pPr>
        <w:spacing w:after="200"/>
      </w:pPr>
    </w:p>
    <w:p>
      <w:pPr>
        <w:spacing w:after="120"/>
      </w:pPr>
      <w:r>
        <w:t xml:space="preserve">This means CVS ∈ [0, 1 × (1 + w_h + w_p + w_sc)]. Normalise to [0,1] by dividing by the theoretical maximum.</w:t>
      </w:r>
    </w:p>
    <w:p>
      <w:pPr>
        <w:spacing w:after="200"/>
      </w:pPr>
    </w:p>
    <w:p>
      <w:pPr>
        <w:spacing w:after="120"/>
      </w:pPr>
      <w:r>
        <w:t xml:space="preserve">I present all three approaches because the right choice depends on a question I cannot answer for you: should the system flag corridors where structural vulnerability exists but no hazard has been detected yet (Approach 3 does this), or should it only flag corridors where all signals converge (Approach 2 does this)? Your answer determines the system’s operating philosophy.</w:t>
      </w:r>
    </w:p>
    <w:p>
      <w:r>
        <w:br w:type="page"/>
      </w:r>
    </w:p>
    <w:p>
      <w:pPr>
        <w:pStyle w:val="Heading2"/>
      </w:pPr>
      <w:r>
        <w:t xml:space="preserve">7.3 Weight Determination</w:t>
      </w:r>
    </w:p>
    <w:p>
      <w:pPr>
        <w:spacing w:after="120"/>
      </w:pPr>
      <w:r>
        <w:t xml:space="preserve">The weights in any of the above approaches must be determined. There are three options:</w:t>
      </w:r>
    </w:p>
    <w:p>
      <w:pPr>
        <w:spacing w:after="200"/>
      </w:pPr>
    </w:p>
    <w:p>
      <w:pPr>
        <w:spacing w:after="120"/>
      </w:pPr>
      <w:r>
        <w:rPr>
          <w:b/>
          <w:bCs/>
        </w:rPr>
        <w:t xml:space="preserve">Option A: Expert Elicitation</w:t>
      </w:r>
    </w:p>
    <w:p>
      <w:pPr>
        <w:spacing w:after="120"/>
      </w:pPr>
      <w:r>
        <w:t xml:space="preserve">Convene food fraud investigators and domain experts (from FFN, KC-FFQ, Member State authorities) and use a structured elicitation method (e.g., Analytic Hierarchy Process / AHP) to derive weights based on expert judgement. This is the most defensible starting point when you have no validated outcome data.</w:t>
      </w:r>
    </w:p>
    <w:p>
      <w:pPr>
        <w:spacing w:after="200"/>
      </w:pPr>
    </w:p>
    <w:p>
      <w:pPr>
        <w:spacing w:after="120"/>
      </w:pPr>
      <w:r>
        <w:rPr>
          <w:b/>
          <w:bCs/>
        </w:rPr>
        <w:t xml:space="preserve">Option B: Equal Weights</w:t>
      </w:r>
    </w:p>
    <w:p>
      <w:pPr>
        <w:spacing w:after="120"/>
      </w:pPr>
      <w:r>
        <w:t xml:space="preserve">Assign equal weight to all components. This is the most transparent and least assumption-laden approach. Research in multi-criteria decision analysis has shown that equal-weight models often perform surprisingly close to optimally-weighted models, especially when the true optimal weights are unknown.</w:t>
      </w:r>
    </w:p>
    <w:p>
      <w:pPr>
        <w:spacing w:after="200"/>
      </w:pPr>
    </w:p>
    <w:p>
      <w:pPr>
        <w:spacing w:after="120"/>
      </w:pPr>
      <w:r>
        <w:rPr>
          <w:b/>
          <w:bCs/>
        </w:rPr>
        <w:t xml:space="preserve">Option C: Empirical Calibration (Future)</w:t>
      </w:r>
    </w:p>
    <w:p>
      <w:pPr>
        <w:spacing w:after="120"/>
      </w:pPr>
      <w:r>
        <w:t xml:space="preserve">Once the system has accumulated sufficient data on validated fraud outcomes (confirmed cases from FFN, OLAF, or Member State prosecutions), use logistic regression or gradient-boosted classification to learn the weights empirically. The confirmed fraud cases form the positive class; corridors with no known fraud form the negative class. The learned coefficients become the weights. This requires at minimum 50–100 validated outcomes across diverse commodity categories to be reliable.</w:t>
      </w:r>
    </w:p>
    <w:p>
      <w:pPr>
        <w:spacing w:after="200"/>
      </w:pPr>
    </w:p>
    <w:p>
      <w:pPr>
        <w:spacing w:after="120"/>
      </w:pPr>
      <w:r>
        <w:rPr>
          <w:b/>
          <w:bCs/>
        </w:rPr>
        <w:t xml:space="preserve">Honest assessment:</w:t>
      </w:r>
      <w:r>
        <w:t xml:space="preserve"> You will not have Option C available at launch. Start with Option A or B. I would recommend starting with equal weights and adjusting based on expert review of the first batch of scored corridors—do the results make intuitive sense to experienced investigators? If not, which components need more or less weight?</w:t>
      </w:r>
    </w:p>
    <w:p>
      <w:r>
        <w:br w:type="page"/>
      </w:r>
    </w:p>
    <w:p>
      <w:pPr>
        <w:pStyle w:val="Heading1"/>
      </w:pPr>
      <w:r>
        <w:t xml:space="preserve">8. What This Framework Does Not Yet Cover</w:t>
      </w:r>
    </w:p>
    <w:p>
      <w:pPr>
        <w:spacing w:after="120"/>
      </w:pPr>
      <w:r>
        <w:t xml:space="preserve">In the interest of honesty, the following are areas where mathematical modelling is needed but where I do not have enough information from you to specify the models. These are open questions for you:</w:t>
      </w:r>
    </w:p>
    <w:p>
      <w:pPr>
        <w:spacing w:after="200"/>
      </w:pPr>
    </w:p>
    <w:p>
      <w:pPr>
        <w:pStyle w:val="ListParagraph"/>
        <w:numPr>
          <w:ilvl w:val="0"/>
          <w:numId w:val="3"/>
        </w:numPr>
        <w:spacing w:after="80"/>
      </w:pPr>
      <w:r>
        <w:rPr>
          <w:b/>
          <w:bCs/>
        </w:rPr>
        <w:t xml:space="preserve">Price data source and granularity: </w:t>
      </w:r>
      <w:r>
        <w:t xml:space="preserve">The unit value analysis (Section 5.1) uses Comtrade value/volume as a price proxy. This is crude. If you have access to actual import price indices (Eurostat) or wholesale market prices, the models can be made significantly more precise. What price data do you actually have or plan to acquire?</w:t>
      </w:r>
    </w:p>
    <w:p>
      <w:pPr>
        <w:pStyle w:val="ListParagraph"/>
        <w:numPr>
          <w:ilvl w:val="0"/>
          <w:numId w:val="3"/>
        </w:numPr>
        <w:spacing w:after="80"/>
      </w:pPr>
      <w:r>
        <w:rPr>
          <w:b/>
          <w:bCs/>
        </w:rPr>
        <w:t xml:space="preserve">HS code mapping methodology: </w:t>
      </w:r>
      <w:r>
        <w:t xml:space="preserve">The entire framework depends on reliably matching RASFF commodity descriptions to HS codes for Comtrade matching. Your data shows a Commodity_Code field that is sometimes populated and sometimes not. What is your plan for the cases where it is missing? This is a make-or-break data engineering problem.</w:t>
      </w:r>
    </w:p>
    <w:p>
      <w:pPr>
        <w:pStyle w:val="ListParagraph"/>
        <w:numPr>
          <w:ilvl w:val="0"/>
          <w:numId w:val="3"/>
        </w:numPr>
        <w:spacing w:after="80"/>
      </w:pPr>
      <w:r>
        <w:rPr>
          <w:b/>
          <w:bCs/>
        </w:rPr>
        <w:t xml:space="preserve">Temporal granularity: </w:t>
      </w:r>
      <w:r>
        <w:t xml:space="preserve">The models above are written to work at annual or monthly resolution. Your RASFF data is daily, your Comtrade data is likely annual or monthly. What is the temporal resolution you are targeting for the system’s update cycle?</w:t>
      </w:r>
    </w:p>
    <w:p>
      <w:pPr>
        <w:pStyle w:val="ListParagraph"/>
        <w:numPr>
          <w:ilvl w:val="0"/>
          <w:numId w:val="3"/>
        </w:numPr>
        <w:spacing w:after="80"/>
      </w:pPr>
      <w:r>
        <w:rPr>
          <w:b/>
          <w:bCs/>
        </w:rPr>
        <w:t xml:space="preserve">Validation data: </w:t>
      </w:r>
      <w:r>
        <w:t xml:space="preserve">Do you have access to confirmed fraud cases (from FFN, OLAF, or Member State authorities) that can be used to validate the model outputs? Without validation data, the scoring system is a hypothesis, not a proven model.</w:t>
      </w:r>
    </w:p>
    <w:p>
      <w:pPr>
        <w:pStyle w:val="ListParagraph"/>
        <w:numPr>
          <w:ilvl w:val="0"/>
          <w:numId w:val="3"/>
        </w:numPr>
        <w:spacing w:after="80"/>
      </w:pPr>
      <w:r>
        <w:rPr>
          <w:b/>
          <w:bCs/>
        </w:rPr>
        <w:t xml:space="preserve">Scope of commodities: </w:t>
      </w:r>
      <w:r>
        <w:t xml:space="preserve">Your sample data covers cereals, feed materials, and bivalve molluscs. The models above are commodity-agnostic, but in practice, different commodity types may require different parameterisations (e.g., the decay parameter α for perishable goods should be faster than for shelf-stable goods). What is your target commodity scope?</w:t>
      </w:r>
    </w:p>
    <w:p>
      <w:pPr>
        <w:spacing w:after="200"/>
      </w:pPr>
    </w:p>
    <w:p>
      <w:pPr>
        <w:spacing w:after="200"/>
      </w:pPr>
    </w:p>
    <w:p>
      <w:pPr>
        <w:pBdr>
          <w:top w:val="single" w:color="2E75B6" w:sz="6" w:space="8"/>
        </w:pBdr>
        <w:spacing w:before="400"/>
        <w:jc w:val="center"/>
      </w:pPr>
      <w:r>
        <w:rPr>
          <w:rFonts w:ascii="Arial" w:cs="Arial" w:eastAsia="Arial" w:hAnsi="Arial"/>
          <w:b/>
          <w:bCs/>
          <w:color w:val="999999"/>
          <w:sz w:val="20"/>
          <w:szCs w:val="20"/>
        </w:rPr>
        <w:t xml:space="preserve">END OF MATHEMATICAL FRAMEWORK</w:t>
      </w:r>
    </w:p>
    <w:p>
      <w:pPr>
        <w:spacing w:after="100"/>
        <w:jc w:val="center"/>
      </w:pPr>
      <w:r>
        <w:rPr>
          <w:rFonts w:ascii="Arial" w:cs="Arial" w:eastAsia="Arial" w:hAnsi="Arial"/>
          <w:color w:val="999999"/>
          <w:sz w:val="18"/>
          <w:szCs w:val="18"/>
        </w:rPr>
        <w:t xml:space="preserve">Version 1.0  |  February 2026  |  Working Draft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999999"/>
        <w:sz w:val="16"/>
        <w:szCs w:val="16"/>
      </w:rPr>
      <w:t xml:space="preserve">Mathematical Framework: EU Food Fraud Vulnerability Intelligence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A5C"/>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4B80BDA95C394694869F0A9A2C5433" ma:contentTypeVersion="10" ma:contentTypeDescription="Create a new document." ma:contentTypeScope="" ma:versionID="e47b509168bb96605672e26fa62bbe04">
  <xsd:schema xmlns:xsd="http://www.w3.org/2001/XMLSchema" xmlns:xs="http://www.w3.org/2001/XMLSchema" xmlns:p="http://schemas.microsoft.com/office/2006/metadata/properties" xmlns:ns2="0e4e824b-566e-4dbc-851f-5d0423f3fc2f" xmlns:ns3="8d3e354f-5588-488d-adf7-681a04a8cab0" targetNamespace="http://schemas.microsoft.com/office/2006/metadata/properties" ma:root="true" ma:fieldsID="cdd6628c6da9508968f3dfccb2323b5a" ns2:_="" ns3:_="">
    <xsd:import namespace="0e4e824b-566e-4dbc-851f-5d0423f3fc2f"/>
    <xsd:import namespace="8d3e354f-5588-488d-adf7-681a04a8ca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4e824b-566e-4dbc-851f-5d0423f3fc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aaf764-73f0-4b4c-b8e1-b7d465e0804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3e354f-5588-488d-adf7-681a04a8ca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11e0e0-e5b9-41c2-b45f-56b03cebb27d}" ma:internalName="TaxCatchAll" ma:showField="CatchAllData" ma:web="8d3e354f-5588-488d-adf7-681a04a8c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d3e354f-5588-488d-adf7-681a04a8cab0" xsi:nil="true"/>
    <lcf76f155ced4ddcb4097134ff3c332f xmlns="0e4e824b-566e-4dbc-851f-5d0423f3fc2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CD4A70-90E8-4116-B7C4-CEC6F720EB8D}"/>
</file>

<file path=customXml/itemProps2.xml><?xml version="1.0" encoding="utf-8"?>
<ds:datastoreItem xmlns:ds="http://schemas.openxmlformats.org/officeDocument/2006/customXml" ds:itemID="{9C07A4C1-F1EA-4EAA-8FE8-04BA614F1B66}"/>
</file>

<file path=customXml/itemProps3.xml><?xml version="1.0" encoding="utf-8"?>
<ds:datastoreItem xmlns:ds="http://schemas.openxmlformats.org/officeDocument/2006/customXml" ds:itemID="{DEC07059-F896-4EDA-9715-1AED5805F2A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2026-02-26T13:57:43Z</dcterms:created>
  <dcterms:modified xsi:type="dcterms:W3CDTF">2026-02-26T13:57:43Z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0x010100E94B80BDA95C394694869F0A9A2C5433</vt:lpwstr>
  </property>
</Properties>
</file>