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B40B17" w14:textId="34304764" w:rsidR="0017063B" w:rsidRPr="0017063B" w:rsidRDefault="0017063B" w:rsidP="0017063B">
      <w:pPr>
        <w:pStyle w:val="KeinLeerraum"/>
        <w:spacing w:line="480" w:lineRule="auto"/>
        <w:rPr>
          <w:caps/>
        </w:rPr>
      </w:pPr>
      <w:bookmarkStart w:id="0" w:name="_Hlk4485042"/>
      <w:r w:rsidRPr="0017063B">
        <w:rPr>
          <w:caps/>
        </w:rPr>
        <w:t>electronic supplementary material</w:t>
      </w:r>
    </w:p>
    <w:p w14:paraId="691A620C" w14:textId="77777777" w:rsidR="0017063B" w:rsidRPr="0017063B" w:rsidRDefault="0017063B" w:rsidP="0017063B">
      <w:pPr>
        <w:pStyle w:val="KeinLeerraum"/>
        <w:spacing w:line="480" w:lineRule="auto"/>
        <w:rPr>
          <w:caps/>
        </w:rPr>
      </w:pPr>
    </w:p>
    <w:p w14:paraId="0BF7B448" w14:textId="77777777" w:rsidR="0017063B" w:rsidRPr="0017063B" w:rsidRDefault="00831679" w:rsidP="0017063B">
      <w:pPr>
        <w:pStyle w:val="KeinLeerraum"/>
        <w:spacing w:line="480" w:lineRule="auto"/>
        <w:rPr>
          <w:rFonts w:cstheme="minorHAnsi"/>
          <w:caps/>
        </w:rPr>
      </w:pPr>
      <w:hyperlink r:id="rId8" w:history="1">
        <w:r w:rsidR="0017063B" w:rsidRPr="0017063B">
          <w:rPr>
            <w:rStyle w:val="Hyperlink"/>
            <w:caps/>
            <w:color w:val="auto"/>
            <w:u w:val="none"/>
          </w:rPr>
          <w:t>LCIA of impacts on human health and ecosystems</w:t>
        </w:r>
      </w:hyperlink>
    </w:p>
    <w:p w14:paraId="38CBE827" w14:textId="77777777" w:rsidR="0017063B" w:rsidRPr="0017063B" w:rsidRDefault="0017063B" w:rsidP="0017063B">
      <w:pPr>
        <w:pStyle w:val="KeinLeerraum"/>
        <w:spacing w:line="480" w:lineRule="auto"/>
        <w:rPr>
          <w:rFonts w:cstheme="minorHAnsi"/>
          <w:b/>
          <w:lang w:val="en-GB"/>
        </w:rPr>
      </w:pPr>
    </w:p>
    <w:p w14:paraId="0195EA47" w14:textId="433B7BBA" w:rsidR="0017063B" w:rsidRPr="0017063B" w:rsidRDefault="0017063B" w:rsidP="0017063B">
      <w:pPr>
        <w:pStyle w:val="KeinLeerraum"/>
        <w:spacing w:line="480" w:lineRule="auto"/>
        <w:rPr>
          <w:rFonts w:cstheme="minorHAnsi"/>
          <w:b/>
          <w:lang w:val="en-GB"/>
        </w:rPr>
      </w:pPr>
      <w:r w:rsidRPr="0017063B">
        <w:rPr>
          <w:rFonts w:cstheme="minorHAnsi"/>
          <w:b/>
          <w:lang w:val="en-GB"/>
        </w:rPr>
        <w:t xml:space="preserve">A </w:t>
      </w:r>
      <w:r w:rsidR="00B33FB8">
        <w:rPr>
          <w:rFonts w:cstheme="minorHAnsi"/>
          <w:b/>
          <w:lang w:val="en-GB"/>
        </w:rPr>
        <w:t>t</w:t>
      </w:r>
      <w:r w:rsidRPr="0017063B">
        <w:rPr>
          <w:rFonts w:cstheme="minorHAnsi"/>
          <w:b/>
          <w:lang w:val="en-GB"/>
        </w:rPr>
        <w:t xml:space="preserve">aste of the </w:t>
      </w:r>
      <w:r w:rsidR="00B33FB8">
        <w:rPr>
          <w:rFonts w:cstheme="minorHAnsi"/>
          <w:b/>
          <w:lang w:val="en-GB"/>
        </w:rPr>
        <w:t>n</w:t>
      </w:r>
      <w:r w:rsidRPr="0017063B">
        <w:rPr>
          <w:rFonts w:cstheme="minorHAnsi"/>
          <w:b/>
          <w:lang w:val="en-GB"/>
        </w:rPr>
        <w:t xml:space="preserve">ew ReCiPe for life cycle assessment: consequences of the updated impact assessment method on food product LCAs </w:t>
      </w:r>
    </w:p>
    <w:p w14:paraId="6F494B8E" w14:textId="77777777" w:rsidR="0017063B" w:rsidRPr="0017063B" w:rsidRDefault="0017063B" w:rsidP="0017063B">
      <w:pPr>
        <w:pStyle w:val="KeinLeerraum"/>
        <w:spacing w:line="480" w:lineRule="auto"/>
        <w:rPr>
          <w:rFonts w:cstheme="minorHAnsi"/>
          <w:b/>
          <w:lang w:val="en-GB"/>
        </w:rPr>
      </w:pPr>
    </w:p>
    <w:bookmarkEnd w:id="0"/>
    <w:p w14:paraId="69E47567" w14:textId="2EBE2E1E" w:rsidR="0017063B" w:rsidRPr="0017063B" w:rsidRDefault="0017063B" w:rsidP="0017063B">
      <w:pPr>
        <w:pStyle w:val="KeinLeerraum"/>
        <w:spacing w:line="480" w:lineRule="auto"/>
        <w:rPr>
          <w:rFonts w:cstheme="minorHAnsi"/>
          <w:b/>
        </w:rPr>
      </w:pPr>
      <w:r w:rsidRPr="0017063B">
        <w:rPr>
          <w:rFonts w:cstheme="minorHAnsi"/>
          <w:b/>
        </w:rPr>
        <w:t>Erik Dekker</w:t>
      </w:r>
      <w:r w:rsidRPr="0017063B">
        <w:rPr>
          <w:rFonts w:cstheme="minorHAnsi"/>
          <w:b/>
          <w:vertAlign w:val="superscript"/>
        </w:rPr>
        <w:t>1, 2</w:t>
      </w:r>
      <w:r w:rsidRPr="0017063B">
        <w:rPr>
          <w:rFonts w:cstheme="minorHAnsi"/>
          <w:b/>
        </w:rPr>
        <w:t xml:space="preserve"> • Michiel C</w:t>
      </w:r>
      <w:r w:rsidR="00D81392">
        <w:rPr>
          <w:rFonts w:cstheme="minorHAnsi"/>
          <w:b/>
        </w:rPr>
        <w:t>.</w:t>
      </w:r>
      <w:r w:rsidRPr="0017063B">
        <w:rPr>
          <w:rFonts w:cstheme="minorHAnsi"/>
          <w:b/>
        </w:rPr>
        <w:t xml:space="preserve"> Zijp</w:t>
      </w:r>
      <w:r w:rsidRPr="0017063B">
        <w:rPr>
          <w:rFonts w:cstheme="minorHAnsi"/>
          <w:b/>
          <w:vertAlign w:val="superscript"/>
        </w:rPr>
        <w:t>2</w:t>
      </w:r>
      <w:r w:rsidRPr="0017063B">
        <w:rPr>
          <w:rFonts w:cstheme="minorHAnsi"/>
          <w:b/>
        </w:rPr>
        <w:t xml:space="preserve"> • Mirjam E</w:t>
      </w:r>
      <w:r w:rsidR="00D81392">
        <w:rPr>
          <w:rFonts w:cstheme="minorHAnsi"/>
          <w:b/>
        </w:rPr>
        <w:t>.</w:t>
      </w:r>
      <w:r w:rsidRPr="0017063B">
        <w:rPr>
          <w:rFonts w:cstheme="minorHAnsi"/>
          <w:b/>
        </w:rPr>
        <w:t xml:space="preserve"> van de Kamp</w:t>
      </w:r>
      <w:r w:rsidRPr="0017063B">
        <w:rPr>
          <w:rFonts w:cstheme="minorHAnsi"/>
          <w:b/>
          <w:vertAlign w:val="superscript"/>
        </w:rPr>
        <w:t>2</w:t>
      </w:r>
      <w:r w:rsidRPr="0017063B">
        <w:rPr>
          <w:rFonts w:cstheme="minorHAnsi"/>
          <w:b/>
        </w:rPr>
        <w:t xml:space="preserve"> • Elisabeth H</w:t>
      </w:r>
      <w:r w:rsidR="00D81392">
        <w:rPr>
          <w:rFonts w:cstheme="minorHAnsi"/>
          <w:b/>
        </w:rPr>
        <w:t>.</w:t>
      </w:r>
      <w:r w:rsidRPr="0017063B">
        <w:rPr>
          <w:rFonts w:cstheme="minorHAnsi"/>
          <w:b/>
        </w:rPr>
        <w:t>M</w:t>
      </w:r>
      <w:r w:rsidR="00D81392">
        <w:rPr>
          <w:rFonts w:cstheme="minorHAnsi"/>
          <w:b/>
        </w:rPr>
        <w:t>.</w:t>
      </w:r>
      <w:bookmarkStart w:id="1" w:name="_GoBack"/>
      <w:bookmarkEnd w:id="1"/>
      <w:r w:rsidRPr="0017063B">
        <w:rPr>
          <w:rFonts w:cstheme="minorHAnsi"/>
          <w:b/>
        </w:rPr>
        <w:t xml:space="preserve"> Temme</w:t>
      </w:r>
      <w:r w:rsidRPr="0017063B">
        <w:rPr>
          <w:rFonts w:cstheme="minorHAnsi"/>
          <w:b/>
          <w:vertAlign w:val="superscript"/>
        </w:rPr>
        <w:t>2</w:t>
      </w:r>
      <w:r w:rsidRPr="0017063B">
        <w:rPr>
          <w:rFonts w:cstheme="minorHAnsi"/>
          <w:b/>
        </w:rPr>
        <w:t xml:space="preserve"> • Rosalie van Zelm</w:t>
      </w:r>
      <w:r w:rsidRPr="0017063B">
        <w:rPr>
          <w:rFonts w:cstheme="minorHAnsi"/>
          <w:b/>
          <w:vertAlign w:val="superscript"/>
        </w:rPr>
        <w:t>1</w:t>
      </w:r>
    </w:p>
    <w:p w14:paraId="7C78EEAB" w14:textId="77777777" w:rsidR="0017063B" w:rsidRPr="0017063B" w:rsidRDefault="0017063B" w:rsidP="0017063B">
      <w:pPr>
        <w:pStyle w:val="KeinLeerraum"/>
        <w:spacing w:line="480" w:lineRule="auto"/>
        <w:rPr>
          <w:rFonts w:cstheme="minorHAnsi"/>
        </w:rPr>
      </w:pPr>
    </w:p>
    <w:p w14:paraId="466918CC" w14:textId="77777777" w:rsidR="0017063B" w:rsidRPr="0017063B" w:rsidRDefault="0017063B" w:rsidP="0017063B">
      <w:pPr>
        <w:spacing w:after="0" w:line="360" w:lineRule="auto"/>
        <w:rPr>
          <w:rFonts w:cstheme="minorHAnsi"/>
          <w:lang w:val="en-US"/>
        </w:rPr>
      </w:pPr>
      <w:r w:rsidRPr="0017063B">
        <w:rPr>
          <w:rFonts w:cstheme="minorHAnsi"/>
          <w:lang w:val="en-US"/>
        </w:rPr>
        <w:t>Received: 29 October 2018 / Accepted: 13 June 2019</w:t>
      </w:r>
    </w:p>
    <w:p w14:paraId="48E91B8E" w14:textId="77777777" w:rsidR="0017063B" w:rsidRPr="0017063B" w:rsidRDefault="0017063B" w:rsidP="0017063B">
      <w:pPr>
        <w:spacing w:after="0" w:line="360" w:lineRule="auto"/>
        <w:rPr>
          <w:rFonts w:cstheme="minorHAnsi"/>
          <w:lang w:val="en-GB"/>
        </w:rPr>
      </w:pPr>
      <w:r w:rsidRPr="0017063B">
        <w:rPr>
          <w:rFonts w:cstheme="minorHAnsi"/>
          <w:lang w:val="en-US"/>
        </w:rPr>
        <w:t xml:space="preserve">© </w:t>
      </w:r>
      <w:r w:rsidRPr="0017063B">
        <w:rPr>
          <w:rFonts w:cstheme="minorHAnsi"/>
          <w:lang w:val="en-GB"/>
        </w:rPr>
        <w:t>Springer-Verlag GmbH Germany, part of Springer Nature 2019</w:t>
      </w:r>
    </w:p>
    <w:p w14:paraId="31D3016F" w14:textId="77777777" w:rsidR="0017063B" w:rsidRPr="0017063B" w:rsidRDefault="0017063B" w:rsidP="0017063B">
      <w:pPr>
        <w:spacing w:after="0" w:line="360" w:lineRule="auto"/>
        <w:rPr>
          <w:rFonts w:cstheme="minorHAnsi"/>
          <w:lang w:val="en-US"/>
        </w:rPr>
      </w:pPr>
    </w:p>
    <w:p w14:paraId="06EAD9EB" w14:textId="77777777" w:rsidR="0017063B" w:rsidRPr="0017063B" w:rsidRDefault="0017063B" w:rsidP="0017063B">
      <w:pPr>
        <w:pBdr>
          <w:top w:val="single" w:sz="4" w:space="1" w:color="auto"/>
          <w:bottom w:val="single" w:sz="4" w:space="1" w:color="auto"/>
        </w:pBdr>
        <w:spacing w:after="0" w:line="360" w:lineRule="auto"/>
        <w:rPr>
          <w:rFonts w:cstheme="minorHAnsi"/>
          <w:lang w:val="en-US"/>
        </w:rPr>
      </w:pPr>
      <w:r w:rsidRPr="0017063B">
        <w:rPr>
          <w:rFonts w:cstheme="minorHAnsi"/>
          <w:lang w:val="en-US"/>
        </w:rPr>
        <w:t xml:space="preserve">Responsible editor: </w:t>
      </w:r>
      <w:r w:rsidRPr="0017063B">
        <w:t>Serenella Sala</w:t>
      </w:r>
    </w:p>
    <w:p w14:paraId="7AB6B0A2" w14:textId="77777777" w:rsidR="0017063B" w:rsidRPr="0017063B" w:rsidRDefault="0017063B" w:rsidP="0017063B">
      <w:pPr>
        <w:rPr>
          <w:rFonts w:cstheme="minorHAnsi"/>
          <w:lang w:val="en-US"/>
        </w:rPr>
      </w:pPr>
    </w:p>
    <w:p w14:paraId="4DA333C2" w14:textId="77777777" w:rsidR="0017063B" w:rsidRPr="0017063B" w:rsidRDefault="0017063B" w:rsidP="0017063B">
      <w:pPr>
        <w:pStyle w:val="KeinLeerraum"/>
        <w:spacing w:line="480" w:lineRule="auto"/>
        <w:rPr>
          <w:rFonts w:cstheme="minorHAnsi"/>
        </w:rPr>
      </w:pPr>
    </w:p>
    <w:p w14:paraId="09056B87" w14:textId="77777777" w:rsidR="0017063B" w:rsidRPr="0017063B" w:rsidRDefault="0017063B" w:rsidP="0017063B">
      <w:pPr>
        <w:pStyle w:val="KeinLeerraum"/>
        <w:spacing w:line="480" w:lineRule="auto"/>
        <w:rPr>
          <w:rFonts w:cstheme="minorHAnsi"/>
          <w:lang w:val="en-GB"/>
        </w:rPr>
      </w:pPr>
      <w:r w:rsidRPr="0017063B">
        <w:rPr>
          <w:rFonts w:cstheme="minorHAnsi"/>
          <w:vertAlign w:val="superscript"/>
          <w:lang w:val="en-GB"/>
        </w:rPr>
        <w:t>1</w:t>
      </w:r>
      <w:r w:rsidRPr="0017063B">
        <w:rPr>
          <w:rFonts w:cstheme="minorHAnsi"/>
          <w:lang w:val="en-GB"/>
        </w:rPr>
        <w:t>Department of Environmental Science, Institute for Water and Wetland Research, Faculty of Science, Radboud University, Nijmegen, The Netherlands</w:t>
      </w:r>
    </w:p>
    <w:p w14:paraId="2FFAC98C" w14:textId="77777777" w:rsidR="0017063B" w:rsidRPr="0017063B" w:rsidRDefault="0017063B" w:rsidP="0017063B">
      <w:pPr>
        <w:pStyle w:val="KeinLeerraum"/>
        <w:spacing w:line="480" w:lineRule="auto"/>
        <w:rPr>
          <w:rFonts w:cstheme="minorHAnsi"/>
          <w:lang w:val="en-GB"/>
        </w:rPr>
      </w:pPr>
      <w:r w:rsidRPr="0017063B">
        <w:rPr>
          <w:rFonts w:cstheme="minorHAnsi"/>
          <w:vertAlign w:val="superscript"/>
          <w:lang w:val="en-GB"/>
        </w:rPr>
        <w:t>2</w:t>
      </w:r>
      <w:r w:rsidRPr="0017063B">
        <w:rPr>
          <w:rFonts w:cstheme="minorHAnsi"/>
          <w:lang w:val="en-GB"/>
        </w:rPr>
        <w:t>National Institute for Public Health and the Environment, Bilthoven, The Netherlands</w:t>
      </w:r>
    </w:p>
    <w:p w14:paraId="4312DFD8" w14:textId="77777777" w:rsidR="0017063B" w:rsidRPr="0017063B" w:rsidRDefault="0017063B" w:rsidP="0017063B">
      <w:pPr>
        <w:pStyle w:val="KeinLeerraum"/>
        <w:spacing w:line="480" w:lineRule="auto"/>
        <w:rPr>
          <w:rFonts w:cstheme="minorHAnsi"/>
        </w:rPr>
      </w:pPr>
    </w:p>
    <w:p w14:paraId="46222F18" w14:textId="77777777" w:rsidR="0017063B" w:rsidRPr="0017063B" w:rsidRDefault="0017063B" w:rsidP="0017063B">
      <w:pPr>
        <w:pStyle w:val="KeinLeerraum"/>
        <w:spacing w:line="480" w:lineRule="auto"/>
        <w:rPr>
          <w:rFonts w:cstheme="minorHAnsi"/>
        </w:rPr>
      </w:pPr>
    </w:p>
    <w:p w14:paraId="28758C74" w14:textId="77777777" w:rsidR="0017063B" w:rsidRPr="0017063B" w:rsidRDefault="0017063B" w:rsidP="0017063B">
      <w:pPr>
        <w:pStyle w:val="KeinLeerraum"/>
        <w:spacing w:line="480" w:lineRule="auto"/>
        <w:rPr>
          <w:rFonts w:cstheme="minorHAnsi"/>
          <w:lang w:val="en-GB"/>
        </w:rPr>
      </w:pPr>
      <w:r w:rsidRPr="0017063B">
        <w:rPr>
          <w:rFonts w:ascii="Wingdings" w:hAnsi="Wingdings" w:cstheme="minorHAnsi"/>
        </w:rPr>
        <w:t></w:t>
      </w:r>
      <w:r w:rsidRPr="0017063B">
        <w:rPr>
          <w:rFonts w:cstheme="minorHAnsi"/>
        </w:rPr>
        <w:t xml:space="preserve"> Rosalie van Zelm</w:t>
      </w:r>
    </w:p>
    <w:p w14:paraId="409A04B9" w14:textId="77777777" w:rsidR="0017063B" w:rsidRPr="0017063B" w:rsidRDefault="0017063B" w:rsidP="0017063B">
      <w:pPr>
        <w:pStyle w:val="KeinLeerraum"/>
        <w:spacing w:line="480" w:lineRule="auto"/>
        <w:rPr>
          <w:rFonts w:cstheme="minorHAnsi"/>
          <w:lang w:val="en-GB"/>
        </w:rPr>
      </w:pPr>
      <w:r w:rsidRPr="0017063B">
        <w:rPr>
          <w:rFonts w:cstheme="minorHAnsi"/>
          <w:lang w:val="en-GB"/>
        </w:rPr>
        <w:t>r.vanzelm@science.ru.nl</w:t>
      </w:r>
    </w:p>
    <w:p w14:paraId="1664D7D7" w14:textId="77777777" w:rsidR="00627DD2" w:rsidRPr="0017063B" w:rsidRDefault="00627DD2">
      <w:pPr>
        <w:rPr>
          <w:b/>
          <w:lang w:val="en-GB"/>
        </w:rPr>
      </w:pPr>
      <w:r w:rsidRPr="0017063B">
        <w:rPr>
          <w:b/>
          <w:lang w:val="en-GB"/>
        </w:rPr>
        <w:br w:type="page"/>
      </w:r>
    </w:p>
    <w:p w14:paraId="60E20F41" w14:textId="0B5CA888" w:rsidR="00091F1E" w:rsidRPr="0017063B" w:rsidRDefault="0017063B" w:rsidP="00E95188">
      <w:pPr>
        <w:pStyle w:val="KeinLeerraum"/>
        <w:jc w:val="both"/>
        <w:rPr>
          <w:b/>
          <w:lang w:val="en-GB"/>
        </w:rPr>
      </w:pPr>
      <w:r>
        <w:rPr>
          <w:b/>
          <w:lang w:val="en-GB"/>
        </w:rPr>
        <w:lastRenderedPageBreak/>
        <w:t xml:space="preserve">1 </w:t>
      </w:r>
      <w:r w:rsidR="00091F1E" w:rsidRPr="0017063B">
        <w:rPr>
          <w:b/>
          <w:lang w:val="en-GB"/>
        </w:rPr>
        <w:t>Introduction</w:t>
      </w:r>
    </w:p>
    <w:p w14:paraId="3C7247D3" w14:textId="073A4837" w:rsidR="0078787E" w:rsidRPr="0017063B" w:rsidRDefault="0078787E" w:rsidP="00E95188">
      <w:pPr>
        <w:pStyle w:val="KeinLeerraum"/>
        <w:jc w:val="both"/>
        <w:rPr>
          <w:b/>
          <w:sz w:val="20"/>
          <w:szCs w:val="20"/>
          <w:lang w:val="en-GB"/>
        </w:rPr>
      </w:pPr>
    </w:p>
    <w:p w14:paraId="7ABD9FE9" w14:textId="669275B2" w:rsidR="0078787E" w:rsidRPr="0017063B" w:rsidRDefault="0078787E" w:rsidP="00627DD2">
      <w:pPr>
        <w:pStyle w:val="KeinLeerraum"/>
        <w:jc w:val="both"/>
        <w:rPr>
          <w:rFonts w:cstheme="minorHAnsi"/>
          <w:lang w:val="en-GB"/>
        </w:rPr>
      </w:pPr>
      <w:r w:rsidRPr="0017063B">
        <w:rPr>
          <w:rFonts w:cstheme="minorHAnsi"/>
          <w:lang w:val="en-GB"/>
        </w:rPr>
        <w:t>The choice of LCIA method influences the outcomes of the LCA and should therefore be selected well-considered and transparently</w:t>
      </w:r>
      <w:r w:rsidR="0059730A" w:rsidRPr="0017063B">
        <w:rPr>
          <w:rStyle w:val="Kommentarzeichen"/>
          <w:lang w:val="en-GB"/>
        </w:rPr>
        <w:t>.</w:t>
      </w:r>
      <w:r w:rsidRPr="0017063B">
        <w:rPr>
          <w:rFonts w:cstheme="minorHAnsi"/>
          <w:lang w:val="en-GB"/>
        </w:rPr>
        <w:t xml:space="preserve"> For example, most LCIA methods are orientated on one specific geographic region, e.g. USA (TRACI), Japan (LIME), Canada (LUCAS) and Europe (ReCiPe 2008) </w:t>
      </w:r>
      <w:r w:rsidRPr="0017063B">
        <w:rPr>
          <w:rFonts w:cstheme="minorHAnsi"/>
          <w:lang w:val="en-GB"/>
        </w:rPr>
        <w:fldChar w:fldCharType="begin" w:fldLock="1"/>
      </w:r>
      <w:r w:rsidR="005253E9" w:rsidRPr="0017063B">
        <w:rPr>
          <w:rFonts w:cstheme="minorHAnsi"/>
          <w:lang w:val="en-GB"/>
        </w:rPr>
        <w:instrText>ADDIN CSL_CITATION {"citationItems":[{"id":"ITEM-1","itemData":{"DOI":"10.1007/s10098-010-0338-9","author":[{"dropping-particle":"","family":"Bare","given":"Jane","non-dropping-particle":"","parse-names":false,"suffix":""}],"container-title":"Clean Technologies and Environmental Policy","id":"ITEM-1","issued":{"date-parts":[["2011"]]},"page":"687-696","title":"TRACI 2 . 0 : the tool for the reduction and assessment of chemical and other environmental impacts 2 . 0","type":"article-journal"},"uris":["http://www.mendeley.com/documents/?uuid=446513f7-f5e1-4d8c-a6c6-dcc44df81ec9"]},{"id":"ITEM-2","itemData":{"DOI":"10.1007/s11367-012-0489-5","author":[{"dropping-particle":"","family":"Hauschild","given":"Michael Z","non-dropping-particle":"","parse-names":false,"suffix":""},{"dropping-particle":"","family":"Goedkoop","given":"Mark","non-dropping-particle":"","parse-names":false,"suffix":""},{"dropping-particle":"","family":"Guinée","given":"Jeroen","non-dropping-particle":"","parse-names":false,"suffix":""},{"dropping-particle":"","family":"Heijungs","given":"Reinout","non-dropping-particle":"","parse-names":false,"suffix":""},{"dropping-particle":"","family":"Huijbregts","given":"Mark","non-dropping-particle":"","parse-names":false,"suffix":""},{"dropping-particle":"","family":"Jolliet","given":"Olivier","non-dropping-particle":"","parse-names":false,"suffix":""},{"dropping-particle":"","family":"Margni","given":"Manuele","non-dropping-particle":"","parse-names":false,"suffix":""},{"dropping-particle":"De","family":"Schryver","given":"An","non-dropping-particle":"","parse-names":false,"suffix":""},{"dropping-particle":"","family":"Humbert","given":"Sebastien","non-dropping-particle":"","parse-names":false,"suffix":""},{"dropping-particle":"","family":"Laurent","given":"Alexis","non-dropping-particle":"","parse-names":false,"suffix":""},{"dropping-particle":"","family":"Sala","given":"Serenella","non-dropping-particle":"","parse-names":false,"suffix":""}],"container-title":"International Journal of Life Cycle Assessment","id":"ITEM-2","issued":{"date-parts":[["2013"]]},"page":"683-697","title":"Identifying best existing practice for characterization modeling in life cycle impact assessment","type":"article-journal"},"uris":["http://www.mendeley.com/documents/?uuid=f911e589-454b-429d-ad98-a7242fc49815"]},{"id":"ITEM-3","itemData":{"DOI":"10.029/2003JD004283","abstract":"Life cycle assessment (LCA) is a methodological tool used to quantitatively analyse the life cycle of products/ activities within the context of environmental impact. The application of this tool underwent major changes during the 1990s. It was initially developed to compare clearly defined end product alternatives, such as various forms of milk packaging or baby diapers. However, it has been rapidly incorporated into higher strategic levels, including decision- and policy-making at the firm/corporate levels. Life cycle assessment is currently used for assessing a wide range of products and activities, from ecolabeling to product design as well as energy systems, food production and transportation alternatives; it now clearly extends beyond only an assessment of end products. The current debate to which LCA is being subjected is closely linked to the involvement of stakeholders and the systematic use of quality assurance aspects, including peer review and uncertainty analyses. At an international level, the process of standardisation has yielded an ISO-standard (the 14040-series) and the establishment of working groups within the scientific community (SETAC) and within UNEP. At the same time, developments at the national level and within individual universities research centres and consultancy firms have led to a further development of procedures and methods for carrying out an LCA. These developments clearly demonstrate that there is no single gold standard method that is applicable in all situations. It has been stated that LCA is goal- and scope-dependent, and this most certainly also applies to LCA methodologies. However, at the same time, the autonomous developments in LCA have sometimes led to discrepancies between methods that cannot be explained by necessity alone, and for which historical factors play an important role. One such example is the development of midpoint-oriented and endpoint-oriented methods for life cycle impact assessment (LCIA). A number of methods used for LCIA convert the emissions of hazardous substances and extractions of natural resources into impact category indicators at the midpoint level (such as acidification, climate change and ecotoxicity), while others employ impact category indicators at the endpoint level (such as damage to human health and damage to ecosystem quality). The existence of methods addressing midpoints and others addressing endpoints can be justified and is legitimate given that the choice of method …","author":[{"dropping-particle":"","family":"Goedkoop","given":"Mark","non-dropping-particle":"","parse-names":false,"suffix":""},{"dropping-particle":"","family":"Heijungs","given":"Reinout","non-dropping-particle":"","parse-names":false,"suffix":""},{"dropping-particle":"","family":"Huijbregts","given":"Mark","non-dropping-particle":"","parse-names":false,"suffix":""},{"dropping-particle":"De","family":"Schryver","given":"An","non-dropping-particle":"","parse-names":false,"suffix":""},{"dropping-particle":"","family":"</w:instrText>
      </w:r>
      <w:r w:rsidR="005253E9" w:rsidRPr="0017063B">
        <w:rPr>
          <w:rFonts w:cstheme="minorHAnsi"/>
        </w:rPr>
        <w:instrText>Struijs","given":"Jaap","non-dropping-particle":"","parse-names":false,"suffix":""},{"dropping-particle":"Van","family":"Zelm","given":"Rosalie","non-dropping-particle":"","parse-names":false,"suffix":""}],"id":"ITEM-3","issued":{"date-parts":[["2009"]]},"page":"1-44","title":"ReCiPe 2008","type":"article-journal"},"uris":["http://www.mendeley.com/documents/?uuid=1a032665-056d-4b67-96b1-dfd28460ebb0"]},{"id":"ITEM-4","itemData":{"DOI":"10.1007/BF02978923","author":[{"dropping-particle":"","family":"Itsubo","given":"Norihoro","non-dropping-particle":"","parse-names":false,"suffix":""},{"dropping-particle":"","family":"Inaba","given":"Atsushi","non-dropping-particle":"","parse-names":false,"suffix":""}],"container-title":"The International Journal of Life Cycle Assessment","id":"ITEM-4","issue":"5","issued":{"date-parts":[["2003"]]},"page":"305-305","title":"A new LCIA method: LIME has been completed","type":"article-journal","volume":"8"},"uris":["http://www.mendeley.com/documents/?uuid=ce7c6af4-00eb-4c61-9b86-556c09ace617"]}],"mendeley":{"formattedCitation":"(Itsubo and Inaba 2003; Goedkoop et al. 2009; Bare 2011; Hauschild et al. 2013)","plainTextFormattedCitation":"(Itsubo and Inaba 2003; Goedkoop et al. 2009; Bare 2011; Hauschild et al. 2013)","previouslyFormattedCitation":"(Itsubo and Inaba 2003; Goedkoop et al. 2009; Bare 2011; Hauschild et al. 2013)"},"properties":{"noteIndex":0},"schema":"https://github.com/citation-style-language/schema/raw/master/csl-citation.json"}</w:instrText>
      </w:r>
      <w:r w:rsidRPr="0017063B">
        <w:rPr>
          <w:rFonts w:cstheme="minorHAnsi"/>
          <w:lang w:val="en-GB"/>
        </w:rPr>
        <w:fldChar w:fldCharType="separate"/>
      </w:r>
      <w:r w:rsidR="006E31C3" w:rsidRPr="0017063B">
        <w:rPr>
          <w:rFonts w:cstheme="minorHAnsi"/>
          <w:noProof/>
        </w:rPr>
        <w:t>(Itsubo and Inaba 2003; Goedkoop et al. 2009; Bare 2011; Hauschild et al. 2013)</w:t>
      </w:r>
      <w:r w:rsidRPr="0017063B">
        <w:rPr>
          <w:rFonts w:cstheme="minorHAnsi"/>
          <w:lang w:val="en-GB"/>
        </w:rPr>
        <w:fldChar w:fldCharType="end"/>
      </w:r>
      <w:r w:rsidRPr="0017063B">
        <w:rPr>
          <w:rFonts w:cstheme="minorHAnsi"/>
        </w:rPr>
        <w:t xml:space="preserve">. </w:t>
      </w:r>
      <w:r w:rsidRPr="0017063B">
        <w:rPr>
          <w:lang w:val="en-GB"/>
        </w:rPr>
        <w:t>In 2016, an updated version of ReCiPe was released, which is now globally orientated</w:t>
      </w:r>
      <w:r w:rsidRPr="0017063B">
        <w:rPr>
          <w:rFonts w:cstheme="minorHAnsi"/>
          <w:lang w:val="en-GB"/>
        </w:rPr>
        <w:t xml:space="preserve"> </w:t>
      </w:r>
      <w:r w:rsidRPr="0017063B">
        <w:rPr>
          <w:rFonts w:cstheme="minorHAnsi"/>
          <w:lang w:val="en-GB"/>
        </w:rPr>
        <w:fldChar w:fldCharType="begin" w:fldLock="1"/>
      </w:r>
      <w:r w:rsidR="006E31C3" w:rsidRPr="0017063B">
        <w:rPr>
          <w:rFonts w:cstheme="minorHAnsi"/>
          <w:lang w:val="en-GB"/>
        </w:rPr>
        <w:instrText>ADDIN CSL_CITATION {"citationItems":[{"id":"ITEM-1","itemData":{"author":[{"dropping-particle":"","family":"Huijbregts","given":"M.A.J.","non-dropping-particle":"","parse-names":false,"suffix":""},{"dropping-particle":"","family":"Steinmann","given":"Z.J.N.","non-dropping-particle":"","parse-names":false,"suffix":""},{"dropping-particle":"","family":"Elshout","given":"P.M.F.","non-dropping-particle":"","parse-names":false,"suffix":""},{"dropping-particle":"","family":"Stam","given":"G.","non-dropping-particle":"","parse-names":false,"suffix":""},{"dropping-particle":"","family":"Verones","given":"F.","non-dropping-particle":"","parse-names":false,"suffix":""},{"dropping-particle":"","family":"Vieira","given":"M.D.M.","non-dropping-particle":"","parse-names":false,"suffix":""},{"dropping-particle":"","family":"Hollander","given":"A.","non-dropping-particle":"","parse-names":false,"suffix":""},{"dropping-particle":"","family":"Zijp","given":"M.","non-dropping-particle":"","parse-names":false,"suffix":""},{"dropping-particle":"","family":"Zelm","given":"R.","non-dropping-particle":"Van","parse-names":false,"suffix":""}],"id":"ITEM-1","issued":{"date-parts":[["2016"]]},"publisher-place":"Bilthoven, the Netherlands","title":"ReCiPe 2016","type":"report"},"uris":["http://www.mendeley.com/documents/?uuid=bc9fb78b-a471-4730-9e3f-c13f66161dc7"]}],"mendeley":{"formattedCitation":"(Huijbregts et al. 2016)","plainTextFormattedCitation":"(Huijbregts et al. 2016)","previouslyFormattedCitation":"(Huijbregts et al. 2016)"},"properties":{"noteIndex":0},"schema":"https://github.com/citation-style-language/schema/raw/master/csl-citation.json"}</w:instrText>
      </w:r>
      <w:r w:rsidRPr="0017063B">
        <w:rPr>
          <w:rFonts w:cstheme="minorHAnsi"/>
          <w:lang w:val="en-GB"/>
        </w:rPr>
        <w:fldChar w:fldCharType="separate"/>
      </w:r>
      <w:r w:rsidRPr="0017063B">
        <w:rPr>
          <w:rFonts w:cstheme="minorHAnsi"/>
          <w:noProof/>
          <w:lang w:val="en-GB"/>
        </w:rPr>
        <w:t>(Huijbregts et al. 2016)</w:t>
      </w:r>
      <w:r w:rsidRPr="0017063B">
        <w:rPr>
          <w:rFonts w:cstheme="minorHAnsi"/>
          <w:lang w:val="en-GB"/>
        </w:rPr>
        <w:fldChar w:fldCharType="end"/>
      </w:r>
      <w:r w:rsidRPr="0017063B">
        <w:rPr>
          <w:rFonts w:cstheme="minorHAnsi"/>
          <w:lang w:val="en-GB"/>
        </w:rPr>
        <w:t>. Also, LC-IMPACT and IMPACTWorld+ are globally orientated methods, but as relatively new methods, have not been used often yet</w:t>
      </w:r>
      <w:r w:rsidR="00973581" w:rsidRPr="0017063B">
        <w:rPr>
          <w:rFonts w:cstheme="minorHAnsi"/>
          <w:lang w:val="en-GB"/>
        </w:rPr>
        <w:t xml:space="preserve"> </w:t>
      </w:r>
      <w:r w:rsidR="00973581" w:rsidRPr="0017063B">
        <w:rPr>
          <w:rFonts w:cstheme="minorHAnsi"/>
          <w:lang w:val="en-GB"/>
        </w:rPr>
        <w:fldChar w:fldCharType="begin" w:fldLock="1"/>
      </w:r>
      <w:r w:rsidR="006E31C3" w:rsidRPr="0017063B">
        <w:rPr>
          <w:rFonts w:cstheme="minorHAnsi"/>
          <w:lang w:val="en-GB"/>
        </w:rPr>
        <w:instrText>ADDIN CSL_CITATION {"citationItems":[{"id":"ITEM-1","itemData":{"URL":"http://www.impactworldplus.org/","accessed":{"date-parts":[["2018","8","24"]]},"author":[{"dropping-particle":"","family":"Bulle","given":"Cécile","non-dropping-particle":"","parse-names":false,"suffix":""},{"dropping-particle":"","family":"Fantke","given":"Peter","non-dropping-particle":"","parse-names":false,"suffix":""},{"dropping-particle":"","family":"Jolliet","given":"Olivier","non-dropping-particle":"","parse-names":false,"suffix":""},{"dropping-particle":"","family":"Humbert","given":"Sébastien","non-dropping-particle":"","parse-names":false,"suffix":""},{"dropping-particle":"","family":"Margni","given":"Manuel","non-dropping-particle":"","parse-names":false,"suffix":""},{"dropping-particle":"","family":"Patouillard","given":"Laure","non-dropping-particle":"","parse-names":false,"suffix":""},{"dropping-particle":"","family":"Hauschild","given":"Michael","non-dropping-particle":"","parse-names":false,"suffix":""},{"dropping-particle":"","family":"Rosenbaum","given":"Ralph","non-dropping-particle":"","parse-names":false,"suffix":""}],"id":"ITEM-1","issued":{"date-parts":[["2018"]]},"title":"Impact World+","type":"webpage"},"uris":["http://www.mendeley.com/documents/?uuid=119abcff-f35f-40a2-879d-595217ce1e46"]},{"id":"ITEM-2","itemData":{"URL":"http://lc-impact.eu/","accessed":{"date-parts":[["2018","8","24"]]},"author":[{"dropping-particle":"","family":"LC-Impact","given":"","non-dropping-particle":"","parse-names":false,"suffix":""}],"id":"ITEM-2","issued":{"date-parts":[["2018"]]},"title":"LC-Impact","type":"webpage"},"uris":["http://www.mendeley.com/documents/?uuid=8c4ff1c1-11a9-48e7-98e7-f8183ade0274"]}],"mendeley":{"formattedCitation":"(Bulle et al. 2018; LC-Impact 2018)","plainTextFormattedCitation":"(Bulle et al. 2018; LC-Impact 2018)","previouslyFormattedCitation":"(Bulle et al. 2018; LC-Impact 2018)"},"properties":{"noteIndex":0},"schema":"https://github.com/citation-style-language/schema/raw/master/csl-citation.json"}</w:instrText>
      </w:r>
      <w:r w:rsidR="00973581" w:rsidRPr="0017063B">
        <w:rPr>
          <w:rFonts w:cstheme="minorHAnsi"/>
          <w:lang w:val="en-GB"/>
        </w:rPr>
        <w:fldChar w:fldCharType="separate"/>
      </w:r>
      <w:r w:rsidR="00707670" w:rsidRPr="0017063B">
        <w:rPr>
          <w:rFonts w:cstheme="minorHAnsi"/>
          <w:noProof/>
          <w:lang w:val="en-GB"/>
        </w:rPr>
        <w:t>(Bulle et al. 2018; LC-Impact 2018)</w:t>
      </w:r>
      <w:r w:rsidR="00973581" w:rsidRPr="0017063B">
        <w:rPr>
          <w:rFonts w:cstheme="minorHAnsi"/>
          <w:lang w:val="en-GB"/>
        </w:rPr>
        <w:fldChar w:fldCharType="end"/>
      </w:r>
      <w:r w:rsidRPr="0017063B">
        <w:rPr>
          <w:rFonts w:cstheme="minorHAnsi"/>
          <w:lang w:val="en-GB"/>
        </w:rPr>
        <w:t>.</w:t>
      </w:r>
    </w:p>
    <w:p w14:paraId="57ACB9D6" w14:textId="77777777" w:rsidR="0078787E" w:rsidRPr="0017063B" w:rsidRDefault="0078787E" w:rsidP="00627DD2">
      <w:pPr>
        <w:pStyle w:val="KeinLeerraum"/>
        <w:jc w:val="both"/>
        <w:rPr>
          <w:rFonts w:cstheme="minorHAnsi"/>
          <w:lang w:val="en-GB"/>
        </w:rPr>
      </w:pPr>
    </w:p>
    <w:p w14:paraId="18621AE4" w14:textId="57DA09A6" w:rsidR="0078787E" w:rsidRPr="0017063B" w:rsidRDefault="0078787E" w:rsidP="00627DD2">
      <w:pPr>
        <w:pStyle w:val="KeinLeerraum"/>
        <w:jc w:val="both"/>
        <w:rPr>
          <w:rFonts w:cstheme="minorHAnsi"/>
          <w:lang w:val="en-GB"/>
        </w:rPr>
      </w:pPr>
      <w:r w:rsidRPr="0017063B">
        <w:rPr>
          <w:rFonts w:cstheme="minorHAnsi"/>
          <w:lang w:val="en-GB"/>
        </w:rPr>
        <w:t xml:space="preserve">ReCiPe provides characterization factors (CFs) that allow translation of emissions to the environment and deprivation of resources into midpoint and endpoint impacts through a variety of environmental damage pathways </w:t>
      </w:r>
      <w:r w:rsidRPr="0017063B">
        <w:rPr>
          <w:rFonts w:cstheme="minorHAnsi"/>
          <w:lang w:val="en-GB"/>
        </w:rPr>
        <w:fldChar w:fldCharType="begin" w:fldLock="1"/>
      </w:r>
      <w:r w:rsidR="006E31C3" w:rsidRPr="0017063B">
        <w:rPr>
          <w:rFonts w:cstheme="minorHAnsi"/>
          <w:lang w:val="en-GB"/>
        </w:rPr>
        <w:instrText>ADDIN CSL_CITATION {"citationItems":[{"id":"ITEM-1","itemData":{"DOI":"10.029/2003JD004283","abstract":"Life cycle assessment (LCA) is a methodological tool used to quantitatively analyse the life cycle of products/ activities within the context of environmental impact. The application of this tool underwent major changes during the 1990s. It was initially developed to compare clearly defined end product alternatives, such as various forms of milk packaging or baby diapers. However, it has been rapidly incorporated into higher strategic levels, including decision- and policy-making at the firm/corporate levels. Life cycle assessment is currently used for assessing a wide range of products and activities, from ecolabeling to product design as well as energy systems, food production and transportation alternatives; it now clearly extends beyond only an assessment of end products. The current debate to which LCA is being subjected is closely linked to the involvement of stakeholders and the systematic use of quality assurance aspects, including peer review and uncertainty analyses. At an international level, the process of standardisation has yielded an ISO-standard (the 14040-series) and the establishment of working groups within the scientific community (SETAC) and within UNEP. At the same time, developments at the national level and within individual universities research centres and consultancy firms have led to a further development of procedures and methods for carrying out an LCA. These developments clearly demonstrate that there is no single gold standard method that is applicable in all situations. It has been stated that LCA is goal- and scope-dependent, and this most certainly also applies to LCA methodologies. However, at the same time, the autonomous developments in LCA have sometimes led to discrepancies between methods that cannot be explained by necessity alone, and for which historical factors play an important role. One such example is the development of midpoint-oriented and endpoint-oriented methods for life cycle impact assessment (LCIA). A number of methods used for LCIA convert the emissions of hazardous substances and extractions of natural resources into impact category indicators at the midpoint level (such as acidification, climate change and ecotoxicity), while others employ impact category indicators at the endpoint level (such as damage to human health and damage to ecosystem quality). The existence of methods addressing midpoints and others addressing endpoints can be justified and is legitimate given that the choice of method …","author":[{"dropping-particle":"","family":"Goedkoop","given":"Mark","non-dropping-particle":"","parse-names":false,"suffix":""},{"dropping-particle":"","family":"Heijungs","given":"Reinout","non-dropping-particle":"","parse-names":false,"suffix":""},{"dropping-particle":"","family":"Huijbregts","given":"Mark","non-dropping-particle":"","parse-names":false,"suffix":""},{"dropping-particle":"De","family":"Schryver","given":"An","non-dropping-particle":"","parse-names":false,"suffix":""},{"dropping-particle":"","family":"Struijs","given":"Jaap","non-dropping-particle":"","parse-names":false,"suffix":""},{"dropping-particle":"Van","family":"Zelm","given":"Rosalie","non-dropping-particle":"","parse-names":false,"suffix":""}],"id":"ITEM-1","issued":{"date-parts":[["2009"]]},"page":"1-44","title":"ReCiPe 2008","type":"article-journal"},"uris":["http://www.mendeley.com/documents/?uuid=1a032665-056d-4b67-96b1-dfd28460ebb0"]},{"id":"ITEM-2","itemData":{"author":[{"dropping-particle":"","family":"Huijbregts","given":"M.A.J.","non-dropping-particle":"","parse-names":false,"suffix":""},{"dropping-particle":"","family":"Steinmann","given":"Z.J.N.","non-dropping-particle":"","parse-names":false,"suffix":""},{"dropping-particle":"","family":"Elshout","given":"P.M.F.","non-dropping-particle":"","parse-names":false,"suffix":""},{"dropping-particle":"","family":"Stam","given":"G.","non-dropping-particle":"","parse-names":false,"suffix":""},{"dropping-particle":"","family":"Verones","given":"F.","non-dropping-particle":"","parse-names":false,"suffix":""},{"dropping-particle":"","family":"Vieira","given":"M.D.M.","non-dropping-particle":"","parse-names":false,"suffix":""},{"dropping-particle":"","family":"Hollander","given":"A.","non-dropping-particle":"","parse-names":false,"suffix":""},{"dropping-particle":"","family":"Zijp","given":"M.","non-dropping-particle":"","parse-names":false,"suffix":""},{"dropping-particle":"","family":"Zelm","given":"R.","non-dropping-particle":"Van","parse-names":false,"suffix":""}],"id":"ITEM-2","issued":{"date-parts":[["2016"]]},"publisher-place":"Bilthoven, the Netherlands","title":"ReCiPe 2016","type":"report"},"uris":["http://www.mendeley.com/documents/?uuid=bc9fb78b-a471-4730-9e3f-c13f66161dc7"]}],"mendeley":{"formattedCitation":"(Goedkoop et al. 2009; Huijbregts et al. 2016)","plainTextFormattedCitation":"(Goedkoop et al. 2009; Huijbregts et al. 2016)","previouslyFormattedCitation":"(Goedkoop et al. 2009; Huijbregts et al. 2016)"},"properties":{"noteIndex":0},"schema":"https://github.com/citation-style-language/schema/raw/master/csl-citation.json"}</w:instrText>
      </w:r>
      <w:r w:rsidRPr="0017063B">
        <w:rPr>
          <w:rFonts w:cstheme="minorHAnsi"/>
          <w:lang w:val="en-GB"/>
        </w:rPr>
        <w:fldChar w:fldCharType="separate"/>
      </w:r>
      <w:r w:rsidRPr="0017063B">
        <w:rPr>
          <w:rFonts w:cstheme="minorHAnsi"/>
          <w:noProof/>
          <w:lang w:val="en-GB"/>
        </w:rPr>
        <w:t>(Goedkoop et al. 2009; Huijbregts et al. 2016)</w:t>
      </w:r>
      <w:r w:rsidRPr="0017063B">
        <w:rPr>
          <w:rFonts w:cstheme="minorHAnsi"/>
          <w:lang w:val="en-GB"/>
        </w:rPr>
        <w:fldChar w:fldCharType="end"/>
      </w:r>
      <w:r w:rsidRPr="0017063B">
        <w:rPr>
          <w:rFonts w:cstheme="minorHAnsi"/>
          <w:lang w:val="en-GB"/>
        </w:rPr>
        <w:t xml:space="preserve">. A variety of studies has been performed with ReCiPe 2008, both on midpoint and on endpoint level, and it has often been used for assessment of foods (e.g. Manfredi &amp; Vignali </w:t>
      </w:r>
      <w:r w:rsidRPr="0017063B">
        <w:rPr>
          <w:rFonts w:cstheme="minorHAnsi"/>
        </w:rPr>
        <w:fldChar w:fldCharType="begin" w:fldLock="1"/>
      </w:r>
      <w:r w:rsidR="006E31C3" w:rsidRPr="0017063B">
        <w:rPr>
          <w:rFonts w:cstheme="minorHAnsi"/>
          <w:lang w:val="en-GB"/>
        </w:rPr>
        <w:instrText>ADDIN CSL_CITATION {"citationItems":[{"id":"ITEM-1","itemData":{"DOI":"10.1016/j.jclepro.2013.10.010","ISBN":"0959-6526","ISSN":"09596526","abstract":"This study aims to assess the life cycle of tomato puree production by considering the impacts related to the phases of cultivation, processing, packaging and transport, in order to identify potential improvements for each stage of its life cycle. The case study involves companies in the tomato supply chain in northern Italy, with 700 g tomato puree packaged in a glass jar as a reference product. All the operations related to cultivating tomatoes are considered: land preparation, production and transplanting of tomato seedlings, fertilization, watering and harvesting. Each step of the post-harvesting processing is examined, including: unloading, washing and selection of tomatoes, blenching, concentration, pasteurization, filling, packaging and storing. All transport involved in the entire supply chain of this product is accounted for. The life cycle of glass jars, caps and secondary packaging is further evaluated. Primary data are gathered from farmers and a processing company located in the region of analysis, whilst Ecoinvent database v2.2 is used as source of secondary data. The assessment is performed using the CED, CML 2001 and ReCiPe methods. The water footprint for both the cultivation and the processing phase is evaluated too. The results show that packaging is the main cause of environmental impacts, and this is due particularly t</w:instrText>
      </w:r>
      <w:r w:rsidR="006E31C3" w:rsidRPr="0017063B">
        <w:rPr>
          <w:rFonts w:cstheme="minorHAnsi"/>
        </w:rPr>
        <w:instrText>o the high energy demand for its production. Tomato cultivation phases have a higher environmental impact than the puree processing in most of the impact categories considered, and transport contributions show significant values too. Finally several possible improvements, such as reduction of glass weight, logistic and energy optimization, are analysed. The use of lighter primary packaging material appears to be the option with the largest environmental benefits for environmental sustainability within the whole supply chain. ?? 2013 Elsevier Ltd. All rights reserved.","author":[{"dropping-particle":"","family":"Manfredi","given":"Michele","non-dropping-particle":"","parse-names":false,"suffix":""},{"dropping-particle":"","family":"Vignali","given":"Giuseppe","non-dropping-particle":"","parse-names":false,"suffix":""}],"container-title":"Journal of Cleaner Production","id":"ITEM-1","issued":{"date-parts":[["2014"]]},"page":"275-284","publisher":"Elsevier Ltd","title":"Life cycle assessment of a packaged tomato puree: A comparison of environmental impacts produced by different life cycle phases","type":"article-journal","volume":"73"},"suppress-author":1,"uris":["http://www.mendeley.com/documents/?uuid=94efd5c4-3af6-4e0e-9d5f-43276d89ba30"]}],"mendeley":{"formattedCitation":"(2014)","plainTextFormattedCitation":"(2014)","previouslyFormattedCitation":"(2014)"},"properties":{"noteIndex":0},"schema":"https://github.com/citation-style-language/schema/raw/master/csl-citation.json"}</w:instrText>
      </w:r>
      <w:r w:rsidRPr="0017063B">
        <w:rPr>
          <w:rFonts w:cstheme="minorHAnsi"/>
        </w:rPr>
        <w:fldChar w:fldCharType="separate"/>
      </w:r>
      <w:r w:rsidRPr="0017063B">
        <w:rPr>
          <w:rFonts w:cstheme="minorHAnsi"/>
          <w:noProof/>
        </w:rPr>
        <w:t>(2014)</w:t>
      </w:r>
      <w:r w:rsidRPr="0017063B">
        <w:rPr>
          <w:rFonts w:cstheme="minorHAnsi"/>
        </w:rPr>
        <w:fldChar w:fldCharType="end"/>
      </w:r>
      <w:r w:rsidRPr="0017063B">
        <w:rPr>
          <w:rFonts w:cstheme="minorHAnsi"/>
        </w:rPr>
        <w:t xml:space="preserve">; Smetana et al. </w:t>
      </w:r>
      <w:r w:rsidRPr="0017063B">
        <w:rPr>
          <w:rFonts w:cstheme="minorHAnsi"/>
        </w:rPr>
        <w:fldChar w:fldCharType="begin" w:fldLock="1"/>
      </w:r>
      <w:r w:rsidR="006E31C3" w:rsidRPr="0017063B">
        <w:rPr>
          <w:rFonts w:cstheme="minorHAnsi"/>
        </w:rPr>
        <w:instrText>ADDIN CSL_CITATION {"citationItems":[{"id":"ITEM-1","itemData":{"DOI":"10.1007/s11367-015-0931-6","author":[{"dropping-particle":"","family":"Smetana","given":"Sergiy","non-dropping-particle":"","parse-names":false,"suffix":""},{"dropping-particle":"","family":"Mathys","given":"Alexander","non-dropping-particle":"","parse-names":false,"suffix":""},{"dropping-particle":"","family":"Knoch","given":"Achim","non-dropping-particle":"","parse-names":false,"suffix":""},{"dropping-particle":"","family":"Heinz","given":"Volker","non-dropping-particle":"","parse-names":false,"suffix":""}],"container-title":"International Journal of Life Cycle Assessment","id":"ITEM-1","issued":{"date-parts":[["2015"]]},"page":"1254-1267","title":"Meat alternatives : life cycle assessment of most known meat substitutes","type":"article-journal","volume":"2050"},"suppress-author":1,"uris":["http://www.mendeley.com/documents/?uuid=bd62177c-c5e0-4197-ab8b-44da9621287c"]}],"mendeley":{"formattedCitation":"(2015)","plainTextFormattedCitation":"(2015)","previouslyFormattedCitation":"(2015)"},"properties":{"noteIndex":0},"schema":"https://github.com/citation-style-language/schema/raw/master/csl-citation.json"}</w:instrText>
      </w:r>
      <w:r w:rsidRPr="0017063B">
        <w:rPr>
          <w:rFonts w:cstheme="minorHAnsi"/>
        </w:rPr>
        <w:fldChar w:fldCharType="separate"/>
      </w:r>
      <w:r w:rsidRPr="0017063B">
        <w:rPr>
          <w:rFonts w:cstheme="minorHAnsi"/>
          <w:noProof/>
        </w:rPr>
        <w:t>(2015)</w:t>
      </w:r>
      <w:r w:rsidRPr="0017063B">
        <w:rPr>
          <w:rFonts w:cstheme="minorHAnsi"/>
        </w:rPr>
        <w:fldChar w:fldCharType="end"/>
      </w:r>
      <w:r w:rsidRPr="0017063B">
        <w:rPr>
          <w:rFonts w:cstheme="minorHAnsi"/>
        </w:rPr>
        <w:t xml:space="preserve">; Goldstein et al. </w:t>
      </w:r>
      <w:r w:rsidRPr="0017063B">
        <w:rPr>
          <w:rFonts w:cstheme="minorHAnsi"/>
        </w:rPr>
        <w:fldChar w:fldCharType="begin" w:fldLock="1"/>
      </w:r>
      <w:r w:rsidR="006E31C3" w:rsidRPr="0017063B">
        <w:rPr>
          <w:rFonts w:cstheme="minorHAnsi"/>
        </w:rPr>
        <w:instrText>ADDIN CSL_CITATION {"citationItems":[{"id":"ITEM-1","itemData":{"DOI":"10.1016/j.foodpol.2016.01.006","ISSN":"0306-9192","author":[{"dropping-particle":"","family":"Goldstein","given":"Benjamin","non-dropping-particle":"","parse-names":false,"suffix":""},{"dropping-particle":"","family":"Foss","given":"Steffen","non-dropping-particle":"","parse-names":false,"suffix":""},{"dropping-particle":"","family":"Gjerris","given":"Mickey","non-dropping-particle":"","parse-names":false,"suffix":""},{"dropping-particle":"","family":"Laurent","given":"Alexis","non-dropping-particle":"","parse-names":false,"suffix":""},{"dropping-particle":"","family":"Birkved","given":"Morten","non-dropping-particle":"","parse-names":false,"suffix":""}],"container-title":"Food Policy","id":"ITEM-1","issued":{"date-parts":[["2016"]]},"page":"139-151","publisher":"Elsevier Ltd","title":"Ethical aspects of life cycle assessments of diets","type":"article-journal","volume":"59"},"suppress-author":1,"uris":["http://www.mendeley.com/documents/?uuid=102af2b7-bd8d-4f1f-a672-e6cce63c43fc"]}],"mendeley":{"formattedCitation":"(2016)","plainTextFormattedCitation":"(2016)","previouslyFormattedCitation":"(2016)"},"properties":{"noteIndex":0},"schema":"https://github.com/citation-style-language/schema/raw/master/csl-citation.json"}</w:instrText>
      </w:r>
      <w:r w:rsidRPr="0017063B">
        <w:rPr>
          <w:rFonts w:cstheme="minorHAnsi"/>
        </w:rPr>
        <w:fldChar w:fldCharType="separate"/>
      </w:r>
      <w:r w:rsidRPr="0017063B">
        <w:rPr>
          <w:rFonts w:cstheme="minorHAnsi"/>
          <w:noProof/>
        </w:rPr>
        <w:t>(2016)</w:t>
      </w:r>
      <w:r w:rsidRPr="0017063B">
        <w:rPr>
          <w:rFonts w:cstheme="minorHAnsi"/>
        </w:rPr>
        <w:fldChar w:fldCharType="end"/>
      </w:r>
      <w:r w:rsidRPr="0017063B">
        <w:rPr>
          <w:rFonts w:cstheme="minorHAnsi"/>
        </w:rPr>
        <w:t xml:space="preserve">). </w:t>
      </w:r>
      <w:r w:rsidRPr="0017063B">
        <w:rPr>
          <w:rFonts w:cstheme="minorHAnsi"/>
          <w:lang w:val="en-GB"/>
        </w:rPr>
        <w:t>Where ReCiPe 2008 was based on European data, ReCiPe2016 presents CFs that are applicable on a global scale and offers the possibility for country-specific impact assessment for a selection of impact categories, i.e. fine particulate matter formation, freshwater eutrophication, terrestrial acidification, water use and ozone formation. ReCiPe 2016 includes new damage pathways, compared to the 2008 version. These are: damage to human health through diseases other than cancer from stratospheric ozone depletion, damage to freshwater species from global warming, damage to human health and ecosystems from water use and damage to terrestrial species from tropospheric ozone formation (</w:t>
      </w:r>
      <w:r w:rsidR="0017063B">
        <w:rPr>
          <w:rFonts w:cstheme="minorHAnsi"/>
          <w:lang w:val="en-GB"/>
        </w:rPr>
        <w:t xml:space="preserve">Fig. </w:t>
      </w:r>
      <w:r w:rsidR="00911CDC" w:rsidRPr="0017063B">
        <w:rPr>
          <w:rFonts w:cstheme="minorHAnsi"/>
          <w:lang w:val="en-GB"/>
        </w:rPr>
        <w:t>S</w:t>
      </w:r>
      <w:r w:rsidRPr="0017063B">
        <w:rPr>
          <w:rFonts w:cstheme="minorHAnsi"/>
          <w:lang w:val="en-GB"/>
        </w:rPr>
        <w:t xml:space="preserve">1). Other damage pathways were improved, for example ReCiPe 2016 includes a larger set of greenhouse gasses </w:t>
      </w:r>
      <w:r w:rsidRPr="0017063B">
        <w:rPr>
          <w:rFonts w:cstheme="minorHAnsi"/>
          <w:lang w:val="en-GB"/>
        </w:rPr>
        <w:fldChar w:fldCharType="begin" w:fldLock="1"/>
      </w:r>
      <w:r w:rsidR="005253E9" w:rsidRPr="0017063B">
        <w:rPr>
          <w:rFonts w:cstheme="minorHAnsi"/>
          <w:lang w:val="en-GB"/>
        </w:rPr>
        <w:instrText>ADDIN CSL_CITATION {"citationItems":[{"id":"ITEM-1","itemData":{"DOI":"10.1007/s11367-016-1246-y","author":[{"dropping-particle":"","family":"Huijbregts","given":"M A J","non-dropping-particle":"","parse-names":false,"suffix":""},{"dropping-particle":"","family":"Steinmann","given":"Zoran J N","non-dropping-particle":"","parse-names":false,"suffix":""},{"dropping-particle":"","family":"Elshout","given":"Pieter M F","non-dropping-particle":"","parse-names":false,"suffix":""},{"dropping-particle":"","family":"Stam","given":"Gea","non-dropping-particle":"","parse-names":false,"suffix":""}],"container-title":"The International Journal of Life Cycle Assessment","id":"ITEM-1","issued":{"date-parts":[["2017"]]},"page":"1-16","title":"ReCiPe2016 : a harmonized life cycle impact assessment method at midpoint and endpoint level","type":"article-journal"},"uris":["http://www.mendeley.com/documents/?uuid=331f6c7c-1b05-410c-abaf-eaa05b2dec47"]}],"mendeley":{"formattedCitation":"(Huijbregts et al. 2017)","plainTextFormattedCitation":"(Huijbregts et al. 2017)","previouslyFormattedCitation":"(Huijbregts et al. 2017)"},"properties":{"noteIndex":0},"schema":"https://github.com/citation-style-language/schema/raw/master/csl-citation.json"}</w:instrText>
      </w:r>
      <w:r w:rsidRPr="0017063B">
        <w:rPr>
          <w:rFonts w:cstheme="minorHAnsi"/>
          <w:lang w:val="en-GB"/>
        </w:rPr>
        <w:fldChar w:fldCharType="separate"/>
      </w:r>
      <w:r w:rsidRPr="0017063B">
        <w:rPr>
          <w:rFonts w:cstheme="minorHAnsi"/>
          <w:noProof/>
          <w:lang w:val="en-GB"/>
        </w:rPr>
        <w:t>(Huijbregts et al. 2017)</w:t>
      </w:r>
      <w:r w:rsidRPr="0017063B">
        <w:rPr>
          <w:rFonts w:cstheme="minorHAnsi"/>
          <w:lang w:val="en-GB"/>
        </w:rPr>
        <w:fldChar w:fldCharType="end"/>
      </w:r>
      <w:r w:rsidRPr="0017063B">
        <w:rPr>
          <w:rFonts w:cstheme="minorHAnsi"/>
          <w:lang w:val="en-GB"/>
        </w:rPr>
        <w:t>.  ReCiPe 2008 and 2016 use different equivalents for fine particulate matter, PM</w:t>
      </w:r>
      <w:r w:rsidRPr="0017063B">
        <w:rPr>
          <w:rFonts w:cstheme="minorHAnsi"/>
          <w:vertAlign w:val="subscript"/>
          <w:lang w:val="en-GB"/>
        </w:rPr>
        <w:t>10</w:t>
      </w:r>
      <w:r w:rsidRPr="0017063B">
        <w:rPr>
          <w:rFonts w:cstheme="minorHAnsi"/>
          <w:lang w:val="en-GB"/>
        </w:rPr>
        <w:t xml:space="preserve"> and PM</w:t>
      </w:r>
      <w:r w:rsidRPr="0017063B">
        <w:rPr>
          <w:rFonts w:cstheme="minorHAnsi"/>
          <w:vertAlign w:val="subscript"/>
          <w:lang w:val="en-GB"/>
        </w:rPr>
        <w:t xml:space="preserve">2.5 </w:t>
      </w:r>
      <w:r w:rsidRPr="0017063B">
        <w:rPr>
          <w:rFonts w:cstheme="minorHAnsi"/>
          <w:lang w:val="en-GB"/>
        </w:rPr>
        <w:t xml:space="preserve">, and base their effect calculations on these different substances. As there is no CF available in ReCiPe to convert these to similar equivalents they were compared with different equivalents. Where ReCiPe 2008 had different impact categories for agricultural land occupation, urban land occupation and natural land transformation, ReCiPe 2016 has all of these incorporated in the generic impact category land use. </w:t>
      </w:r>
    </w:p>
    <w:p w14:paraId="06AE4FA2" w14:textId="283FDB94" w:rsidR="0078787E" w:rsidRPr="0017063B" w:rsidRDefault="0078787E" w:rsidP="00627DD2">
      <w:pPr>
        <w:pStyle w:val="KeinLeerraum"/>
        <w:spacing w:before="240"/>
        <w:jc w:val="both"/>
        <w:rPr>
          <w:rFonts w:cstheme="minorHAnsi"/>
          <w:lang w:val="en-GB"/>
        </w:rPr>
      </w:pPr>
      <w:r w:rsidRPr="0017063B">
        <w:rPr>
          <w:rFonts w:cstheme="minorHAnsi"/>
          <w:lang w:val="en-GB"/>
        </w:rPr>
        <w:t xml:space="preserve">Furthermore, ReCiPe 2008 and 2016 offer the possibility to calculate environmental impacts from three different perspectives, or value choices: Individualist, Hierarchist and Egalitarian. These three different value choices correspond to three different time frames for environmental impact (20 years, 100 years or 1000 years in ReCiPe 2016), and differ in their use of damage uncertainty. The Individualist perspective only includes damage pathways that have a high level of evidence and the Egalitarian perspective incorporates all reported effects </w:t>
      </w:r>
      <w:r w:rsidRPr="0017063B">
        <w:rPr>
          <w:rFonts w:cstheme="minorHAnsi"/>
          <w:lang w:val="en-GB"/>
        </w:rPr>
        <w:fldChar w:fldCharType="begin" w:fldLock="1"/>
      </w:r>
      <w:r w:rsidR="005253E9" w:rsidRPr="0017063B">
        <w:rPr>
          <w:rFonts w:cstheme="minorHAnsi"/>
          <w:lang w:val="en-GB"/>
        </w:rPr>
        <w:instrText>ADDIN CSL_CITATION {"citationItems":[{"id":"ITEM-1","itemData":{"DOI":"10.1007/s11367-016-1246-y","author":[{"dropping-particle":"","family":"Huijbregts","given":"M A J","non-dropping-particle":"","parse-names":false,"suffix":""},{"dropping-particle":"","family":"Steinmann","given":"Zoran J N","non-dropping-particle":"","parse-names":false,"suffix":""},{"dropping-particle":"","family":"Elshout","given":"Pieter M F","non-dropping-particle":"","parse-names":false,"suffix":""},{"dropping-particle":"","family":"Stam","given":"Gea","non-dropping-particle":"","parse-names":false,"suffix":""}],"container-title":"The International Journal of Life Cycle Assessment","id":"ITEM-1","issued":{"date-parts":[["2017"]]},"page":"1-16","title":"ReCiPe2016 : a harmonized life cycle impact assessment method at midpoint and endpoint level","type":"article-journal"},"uris":["http://www.mendeley.com/documents/?uuid=331f6c7c-1b05-410c-abaf-eaa05b2dec47"]}],"mendeley":{"formattedCitation":"(Huijbregts et al. 2017)","plainTextFormattedCitation":"(Huijbregts et al. 2017)","previouslyFormattedCitation":"(Huijbregts et al. 2017)"},"properties":{"noteIndex":0},"schema":"https://github.com/citation-style-language/schema/raw/master/csl-citation.json"}</w:instrText>
      </w:r>
      <w:r w:rsidRPr="0017063B">
        <w:rPr>
          <w:rFonts w:cstheme="minorHAnsi"/>
          <w:lang w:val="en-GB"/>
        </w:rPr>
        <w:fldChar w:fldCharType="separate"/>
      </w:r>
      <w:r w:rsidRPr="0017063B">
        <w:rPr>
          <w:rFonts w:cstheme="minorHAnsi"/>
          <w:noProof/>
          <w:lang w:val="en-GB"/>
        </w:rPr>
        <w:t>(Huijbregts et al. 2017)</w:t>
      </w:r>
      <w:r w:rsidRPr="0017063B">
        <w:rPr>
          <w:rFonts w:cstheme="minorHAnsi"/>
          <w:lang w:val="en-GB"/>
        </w:rPr>
        <w:fldChar w:fldCharType="end"/>
      </w:r>
      <w:r w:rsidRPr="0017063B">
        <w:rPr>
          <w:rFonts w:cstheme="minorHAnsi"/>
          <w:lang w:val="en-GB"/>
        </w:rPr>
        <w:t>. These value choices have changed in ReCiPe 2016 compared to ReCiPe 2008, as the Egalitarian perspective had a time frame of 500 years in ReCiPe 2008 and there are larger differences between the three value choices with regard to damage uncertainty.</w:t>
      </w:r>
    </w:p>
    <w:p w14:paraId="61F1224C" w14:textId="77777777" w:rsidR="0078787E" w:rsidRPr="0017063B" w:rsidRDefault="0078787E" w:rsidP="00E95188">
      <w:pPr>
        <w:pStyle w:val="KeinLeerraum"/>
        <w:jc w:val="both"/>
        <w:rPr>
          <w:b/>
          <w:sz w:val="20"/>
          <w:szCs w:val="20"/>
          <w:lang w:val="en-GB"/>
        </w:rPr>
      </w:pPr>
    </w:p>
    <w:p w14:paraId="4D3A4DD6" w14:textId="77777777" w:rsidR="00091F1E" w:rsidRPr="0017063B" w:rsidRDefault="00091F1E" w:rsidP="00091F1E">
      <w:pPr>
        <w:pStyle w:val="KeinLeerraum"/>
        <w:keepNext/>
        <w:spacing w:line="480" w:lineRule="auto"/>
        <w:rPr>
          <w:rFonts w:cstheme="minorHAnsi"/>
        </w:rPr>
      </w:pPr>
      <w:r w:rsidRPr="0017063B">
        <w:rPr>
          <w:lang w:val="en-US"/>
        </w:rPr>
        <w:object w:dxaOrig="7470" w:dyaOrig="10410" w14:anchorId="47A2D7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5pt;height:518.25pt" o:ole="">
            <v:imagedata r:id="rId9" o:title=""/>
          </v:shape>
          <o:OLEObject Type="Embed" ProgID="Visio.Drawing.11" ShapeID="_x0000_i1025" DrawAspect="Content" ObjectID="_1622204132" r:id="rId10"/>
        </w:object>
      </w:r>
    </w:p>
    <w:p w14:paraId="50C8FA16" w14:textId="3F7D4EF8" w:rsidR="00091F1E" w:rsidRPr="0017063B" w:rsidRDefault="0017063B" w:rsidP="00392A6A">
      <w:pPr>
        <w:pStyle w:val="KeinLeerraum"/>
        <w:rPr>
          <w:sz w:val="18"/>
          <w:szCs w:val="18"/>
          <w:lang w:val="en-GB"/>
        </w:rPr>
      </w:pPr>
      <w:r>
        <w:rPr>
          <w:sz w:val="18"/>
          <w:szCs w:val="18"/>
          <w:lang w:val="en-GB"/>
        </w:rPr>
        <w:t xml:space="preserve">Fig. </w:t>
      </w:r>
      <w:r w:rsidR="00AD7D3E" w:rsidRPr="0017063B">
        <w:rPr>
          <w:sz w:val="18"/>
          <w:szCs w:val="18"/>
          <w:lang w:val="en-GB"/>
        </w:rPr>
        <w:t>S1</w:t>
      </w:r>
      <w:r w:rsidR="00091F1E" w:rsidRPr="0017063B">
        <w:rPr>
          <w:sz w:val="18"/>
          <w:szCs w:val="18"/>
          <w:lang w:val="en-GB"/>
        </w:rPr>
        <w:t>.Overview of the impact categories covered in ReCiPe 2016 and differences with ReCiPe 2008. Dashed lines indicates there is no constant mid to endpoint factor, green lines show new connections in ReCiPe 2016, red lines show connections that are no longer present in ReCiPe 2016. Derived from Huijbregts et al. (2016) and Goedkoop et al. (2009).</w:t>
      </w:r>
    </w:p>
    <w:p w14:paraId="239099F3" w14:textId="2D9A4321" w:rsidR="00091F1E" w:rsidRPr="0017063B" w:rsidRDefault="00091F1E" w:rsidP="00E95188">
      <w:pPr>
        <w:pStyle w:val="KeinLeerraum"/>
        <w:jc w:val="both"/>
        <w:rPr>
          <w:sz w:val="20"/>
          <w:szCs w:val="20"/>
          <w:lang w:val="en-GB"/>
        </w:rPr>
      </w:pPr>
    </w:p>
    <w:p w14:paraId="120E2095" w14:textId="77777777" w:rsidR="00091F1E" w:rsidRPr="0017063B" w:rsidRDefault="00091F1E" w:rsidP="00E95188">
      <w:pPr>
        <w:pStyle w:val="KeinLeerraum"/>
        <w:jc w:val="both"/>
        <w:rPr>
          <w:sz w:val="20"/>
          <w:szCs w:val="20"/>
          <w:lang w:val="en-GB"/>
        </w:rPr>
      </w:pPr>
    </w:p>
    <w:p w14:paraId="3A0A43B1" w14:textId="77777777" w:rsidR="00627DD2" w:rsidRPr="0017063B" w:rsidRDefault="00627DD2">
      <w:pPr>
        <w:rPr>
          <w:b/>
          <w:sz w:val="20"/>
          <w:szCs w:val="20"/>
          <w:lang w:val="en-GB"/>
        </w:rPr>
      </w:pPr>
      <w:r w:rsidRPr="0017063B">
        <w:rPr>
          <w:b/>
          <w:sz w:val="20"/>
          <w:szCs w:val="20"/>
          <w:lang w:val="en-GB"/>
        </w:rPr>
        <w:br w:type="page"/>
      </w:r>
    </w:p>
    <w:p w14:paraId="6C8C1EA3" w14:textId="7CBA0F8B" w:rsidR="002E5764" w:rsidRPr="0017063B" w:rsidRDefault="0017063B" w:rsidP="00E95188">
      <w:pPr>
        <w:pStyle w:val="KeinLeerraum"/>
        <w:jc w:val="both"/>
        <w:rPr>
          <w:b/>
          <w:lang w:val="en-GB"/>
        </w:rPr>
      </w:pPr>
      <w:r>
        <w:rPr>
          <w:b/>
          <w:lang w:val="en-GB"/>
        </w:rPr>
        <w:lastRenderedPageBreak/>
        <w:t xml:space="preserve">2 </w:t>
      </w:r>
      <w:r w:rsidR="002E5764" w:rsidRPr="0017063B">
        <w:rPr>
          <w:b/>
          <w:lang w:val="en-GB"/>
        </w:rPr>
        <w:t>Methods</w:t>
      </w:r>
    </w:p>
    <w:p w14:paraId="297F0DFC" w14:textId="5D30D220" w:rsidR="002E5764" w:rsidRPr="0017063B" w:rsidRDefault="002E5764" w:rsidP="00E95188">
      <w:pPr>
        <w:pStyle w:val="KeinLeerraum"/>
        <w:jc w:val="both"/>
        <w:rPr>
          <w:lang w:val="en-GB"/>
        </w:rPr>
      </w:pPr>
    </w:p>
    <w:p w14:paraId="34FA05B8" w14:textId="0B39B2C4" w:rsidR="00436220" w:rsidRPr="0017063B" w:rsidRDefault="00436220" w:rsidP="00E95188">
      <w:pPr>
        <w:pStyle w:val="KeinLeerraum"/>
        <w:jc w:val="both"/>
        <w:rPr>
          <w:lang w:val="en-GB"/>
        </w:rPr>
      </w:pPr>
      <w:r w:rsidRPr="0017063B">
        <w:rPr>
          <w:lang w:val="en-GB"/>
        </w:rPr>
        <w:t>Ionizing radiation has a different unit in ReCiPe 2008 compared to ReCiPe 2016. To be able to compare</w:t>
      </w:r>
      <w:r w:rsidR="00B00EE3" w:rsidRPr="0017063B">
        <w:rPr>
          <w:lang w:val="en-GB"/>
        </w:rPr>
        <w:t xml:space="preserve"> predicted impacts for ionizing radiation from</w:t>
      </w:r>
      <w:r w:rsidRPr="0017063B">
        <w:rPr>
          <w:lang w:val="en-GB"/>
        </w:rPr>
        <w:t xml:space="preserve"> ReCiPe 2008 and ReCiPe 2016, </w:t>
      </w:r>
      <w:r w:rsidR="00B00EE3" w:rsidRPr="0017063B">
        <w:rPr>
          <w:lang w:val="en-GB"/>
        </w:rPr>
        <w:t xml:space="preserve">ReCiPe 2016 results were converted to kBq U235 eq.  </w:t>
      </w:r>
    </w:p>
    <w:p w14:paraId="620E120C" w14:textId="77777777" w:rsidR="00436220" w:rsidRPr="0017063B" w:rsidRDefault="00436220" w:rsidP="00E95188">
      <w:pPr>
        <w:pStyle w:val="KeinLeerraum"/>
        <w:jc w:val="both"/>
        <w:rPr>
          <w:lang w:val="en-GB"/>
        </w:rPr>
      </w:pPr>
    </w:p>
    <w:p w14:paraId="4BDFFE14" w14:textId="08F332CC" w:rsidR="0053471C" w:rsidRPr="0017063B" w:rsidRDefault="0017063B" w:rsidP="00E95188">
      <w:pPr>
        <w:pStyle w:val="KeinLeerraum"/>
        <w:jc w:val="both"/>
        <w:rPr>
          <w:b/>
          <w:lang w:val="en-GB"/>
        </w:rPr>
      </w:pPr>
      <w:r>
        <w:rPr>
          <w:b/>
          <w:lang w:val="en-GB"/>
        </w:rPr>
        <w:t xml:space="preserve">2.1 </w:t>
      </w:r>
      <w:r w:rsidR="0053471C" w:rsidRPr="0017063B">
        <w:rPr>
          <w:b/>
          <w:lang w:val="en-GB"/>
        </w:rPr>
        <w:t xml:space="preserve">About the </w:t>
      </w:r>
      <w:r w:rsidR="00242C82" w:rsidRPr="0017063B">
        <w:rPr>
          <w:b/>
          <w:lang w:val="en-GB"/>
        </w:rPr>
        <w:t>Dutch National Food consum</w:t>
      </w:r>
      <w:r w:rsidR="00B00EE3" w:rsidRPr="0017063B">
        <w:rPr>
          <w:b/>
          <w:lang w:val="en-GB"/>
        </w:rPr>
        <w:t>p</w:t>
      </w:r>
      <w:r w:rsidR="00242C82" w:rsidRPr="0017063B">
        <w:rPr>
          <w:b/>
          <w:lang w:val="en-GB"/>
        </w:rPr>
        <w:t xml:space="preserve">tion Survey (DNFCS) </w:t>
      </w:r>
    </w:p>
    <w:p w14:paraId="6B232EFD" w14:textId="7C192391" w:rsidR="0053471C" w:rsidRPr="0017063B" w:rsidRDefault="003A0987" w:rsidP="00E95188">
      <w:pPr>
        <w:pStyle w:val="KeinLeerraum"/>
        <w:jc w:val="both"/>
        <w:rPr>
          <w:lang w:val="en-GB"/>
        </w:rPr>
      </w:pPr>
      <w:r w:rsidRPr="0017063B">
        <w:rPr>
          <w:lang w:val="en-GB"/>
        </w:rPr>
        <w:t>The RIVM monitors the food consumption in the Netherlands. Participants were chosen to form a representative dataset of which several characteristics were known. The panel consisted o</w:t>
      </w:r>
      <w:r w:rsidR="00830B89" w:rsidRPr="0017063B">
        <w:rPr>
          <w:lang w:val="en-GB"/>
        </w:rPr>
        <w:t>f residents between the age of 7-6</w:t>
      </w:r>
      <w:r w:rsidRPr="0017063B">
        <w:rPr>
          <w:lang w:val="en-GB"/>
        </w:rPr>
        <w:t xml:space="preserve">9 that formed a representable dataset for the Netherlands. </w:t>
      </w:r>
      <w:r w:rsidR="00830B89" w:rsidRPr="0017063B">
        <w:rPr>
          <w:lang w:val="en-GB"/>
        </w:rPr>
        <w:t xml:space="preserve">Within each household only one person is allowed to participate. </w:t>
      </w:r>
      <w:r w:rsidRPr="0017063B">
        <w:rPr>
          <w:lang w:val="en-GB"/>
        </w:rPr>
        <w:t>Participants were asked to report their food intake based on a 24-hour recall, this was done twice with an interval of two to six weeks. These surveys are done on a yearly basis</w:t>
      </w:r>
      <w:r w:rsidR="00830B89" w:rsidRPr="0017063B">
        <w:rPr>
          <w:lang w:val="en-GB"/>
        </w:rPr>
        <w:t xml:space="preserve"> </w:t>
      </w:r>
      <w:r w:rsidR="00436220" w:rsidRPr="0017063B">
        <w:rPr>
          <w:lang w:val="en-GB"/>
        </w:rPr>
        <w:fldChar w:fldCharType="begin" w:fldLock="1"/>
      </w:r>
      <w:r w:rsidR="006E31C3" w:rsidRPr="0017063B">
        <w:rPr>
          <w:lang w:val="en-GB"/>
        </w:rPr>
        <w:instrText>ADDIN CSL_CITATION {"citationItems":[{"id":"ITEM-1","itemData":{"author":[{"dropping-particle":"","family":"Rossum","given":"Caroline T.M.","non-dropping-particle":"Van","parse-names":false,"suffix":""},{"dropping-particle":"","family":"Fransen","given":"Heidi P.","non-dropping-particle":"","parse-names":false,"suffix":""},{"dropping-particle":"","family":"Verkaik-Kloosterman","given":"Janneke","non-dropping-particle":"","parse-names":false,"suffix":""},{"dropping-particle":"","family":"Buurma-Rethans","given":"Elly J.M.","non-dropping-particle":"","parse-names":false,"suffix":""},{"dropping-particle":"","family":"Ocké","given":"Marga C.","non-dropping-particle":"","parse-names":false,"suffix":""}],"id":"ITEM-1","issued":{"date-parts":[["2011"]]},"title":"Dutch National Food Consumption Survey 2007-2010","type":"report"},"uris":["http://www.mendeley.com/documents/?uuid=7a30a7ee-5359-4272-9343-5e7d31bf2b7d"]}],"mendeley":{"formattedCitation":"(Van Rossum et al. 2011)","plainTextFormattedCitation":"(Van Rossum et al. 2011)","previouslyFormattedCitation":"(Van Rossum et al. 2011)"},"properties":{"noteIndex":0},"schema":"https://github.com/citation-style-language/schema/raw/master/csl-citation.json"}</w:instrText>
      </w:r>
      <w:r w:rsidR="00436220" w:rsidRPr="0017063B">
        <w:rPr>
          <w:lang w:val="en-GB"/>
        </w:rPr>
        <w:fldChar w:fldCharType="separate"/>
      </w:r>
      <w:r w:rsidR="00436220" w:rsidRPr="0017063B">
        <w:rPr>
          <w:noProof/>
          <w:lang w:val="en-GB"/>
        </w:rPr>
        <w:t>(Van Rossum et al. 2011)</w:t>
      </w:r>
      <w:r w:rsidR="00436220" w:rsidRPr="0017063B">
        <w:rPr>
          <w:lang w:val="en-GB"/>
        </w:rPr>
        <w:fldChar w:fldCharType="end"/>
      </w:r>
      <w:r w:rsidR="002E5764" w:rsidRPr="0017063B">
        <w:rPr>
          <w:lang w:val="en-GB"/>
        </w:rPr>
        <w:t>.</w:t>
      </w:r>
    </w:p>
    <w:p w14:paraId="3FCE8510" w14:textId="77777777" w:rsidR="00820411" w:rsidRPr="0017063B" w:rsidRDefault="00820411" w:rsidP="00E95188">
      <w:pPr>
        <w:pStyle w:val="KeinLeerraum"/>
        <w:jc w:val="both"/>
        <w:rPr>
          <w:lang w:val="en-GB"/>
        </w:rPr>
      </w:pPr>
    </w:p>
    <w:p w14:paraId="70D3990A" w14:textId="74F073C7" w:rsidR="00412E76" w:rsidRPr="0017063B" w:rsidRDefault="0017063B" w:rsidP="00E95188">
      <w:pPr>
        <w:pStyle w:val="KeinLeerraum"/>
        <w:jc w:val="both"/>
        <w:rPr>
          <w:b/>
          <w:lang w:val="en-GB"/>
        </w:rPr>
      </w:pPr>
      <w:r>
        <w:rPr>
          <w:b/>
          <w:lang w:val="en-GB"/>
        </w:rPr>
        <w:t xml:space="preserve">2.2 </w:t>
      </w:r>
      <w:r w:rsidR="00412E76" w:rsidRPr="0017063B">
        <w:rPr>
          <w:b/>
          <w:lang w:val="en-GB"/>
        </w:rPr>
        <w:t>Different product groups</w:t>
      </w:r>
    </w:p>
    <w:p w14:paraId="00A319DC" w14:textId="77777777" w:rsidR="00C507EE" w:rsidRPr="0017063B" w:rsidRDefault="00C507EE" w:rsidP="00E95188">
      <w:pPr>
        <w:pStyle w:val="KeinLeerraum"/>
        <w:jc w:val="both"/>
        <w:rPr>
          <w:sz w:val="20"/>
          <w:szCs w:val="20"/>
          <w:lang w:val="en-GB"/>
        </w:rPr>
      </w:pPr>
      <w:r w:rsidRPr="0017063B">
        <w:rPr>
          <w:lang w:val="en-GB"/>
        </w:rPr>
        <w:t xml:space="preserve">Products were divided in groups based on </w:t>
      </w:r>
      <w:r w:rsidR="00820411" w:rsidRPr="0017063B">
        <w:rPr>
          <w:lang w:val="en-GB"/>
        </w:rPr>
        <w:t xml:space="preserve">the EPIC-soft [Van Rossum, 2011]. Table s1 list the different product that were used in this study with the corresponding product category they were aggregated. </w:t>
      </w:r>
    </w:p>
    <w:p w14:paraId="0C23BEE7" w14:textId="77777777" w:rsidR="00083143" w:rsidRPr="0017063B" w:rsidRDefault="00083143" w:rsidP="00E95188">
      <w:pPr>
        <w:pStyle w:val="KeinLeerraum"/>
        <w:jc w:val="both"/>
        <w:rPr>
          <w:sz w:val="20"/>
          <w:szCs w:val="20"/>
          <w:lang w:val="en-GB"/>
        </w:rPr>
      </w:pPr>
    </w:p>
    <w:p w14:paraId="525F5D50" w14:textId="77777777" w:rsidR="009A0D61" w:rsidRPr="0017063B" w:rsidRDefault="009A0D61" w:rsidP="00E95188">
      <w:pPr>
        <w:pStyle w:val="KeinLeerraum"/>
        <w:jc w:val="both"/>
        <w:rPr>
          <w:sz w:val="20"/>
          <w:szCs w:val="20"/>
          <w:lang w:val="en-GB"/>
        </w:rPr>
        <w:sectPr w:rsidR="009A0D61" w:rsidRPr="0017063B" w:rsidSect="008E66FC">
          <w:footerReference w:type="default" r:id="rId11"/>
          <w:type w:val="continuous"/>
          <w:pgSz w:w="11906" w:h="16838"/>
          <w:pgMar w:top="1417" w:right="1417" w:bottom="1417" w:left="1417" w:header="708" w:footer="708" w:gutter="0"/>
          <w:cols w:space="708"/>
          <w:docGrid w:linePitch="360"/>
        </w:sectPr>
      </w:pPr>
    </w:p>
    <w:p w14:paraId="2F8BB0A6" w14:textId="27DC981E" w:rsidR="00C507EE" w:rsidRPr="0017063B" w:rsidRDefault="00C507EE" w:rsidP="00E95188">
      <w:pPr>
        <w:pStyle w:val="KeinLeerraum"/>
        <w:jc w:val="both"/>
        <w:rPr>
          <w:sz w:val="20"/>
          <w:szCs w:val="20"/>
          <w:lang w:val="en-GB"/>
        </w:rPr>
      </w:pPr>
      <w:r w:rsidRPr="0017063B">
        <w:rPr>
          <w:b/>
          <w:sz w:val="20"/>
          <w:szCs w:val="20"/>
          <w:lang w:val="en-GB"/>
        </w:rPr>
        <w:lastRenderedPageBreak/>
        <w:t xml:space="preserve">Table </w:t>
      </w:r>
      <w:r w:rsidR="00965BEF" w:rsidRPr="0017063B">
        <w:rPr>
          <w:b/>
          <w:sz w:val="20"/>
          <w:szCs w:val="20"/>
          <w:lang w:val="en-GB"/>
        </w:rPr>
        <w:t>S</w:t>
      </w:r>
      <w:r w:rsidRPr="0017063B">
        <w:rPr>
          <w:b/>
          <w:sz w:val="20"/>
          <w:szCs w:val="20"/>
          <w:lang w:val="en-GB"/>
        </w:rPr>
        <w:t>1</w:t>
      </w:r>
      <w:r w:rsidRPr="0017063B">
        <w:rPr>
          <w:sz w:val="20"/>
          <w:szCs w:val="20"/>
          <w:lang w:val="en-GB"/>
        </w:rPr>
        <w:t>. List of products and corresponding product category</w:t>
      </w:r>
      <w:r w:rsidR="00083143" w:rsidRPr="0017063B">
        <w:rPr>
          <w:sz w:val="20"/>
          <w:szCs w:val="20"/>
          <w:lang w:val="en-GB"/>
        </w:rPr>
        <w:t xml:space="preserve"> based on the </w:t>
      </w:r>
      <w:r w:rsidR="00436220" w:rsidRPr="0017063B">
        <w:rPr>
          <w:sz w:val="20"/>
          <w:szCs w:val="20"/>
          <w:lang w:val="en-GB"/>
        </w:rPr>
        <w:t>GloboDiet</w:t>
      </w:r>
      <w:r w:rsidR="00083143" w:rsidRPr="0017063B">
        <w:rPr>
          <w:sz w:val="20"/>
          <w:szCs w:val="20"/>
          <w:lang w:val="en-GB"/>
        </w:rPr>
        <w:t xml:space="preserve"> groups</w:t>
      </w:r>
      <w:r w:rsidR="005C159B" w:rsidRPr="0017063B">
        <w:rPr>
          <w:sz w:val="20"/>
          <w:szCs w:val="20"/>
          <w:lang w:val="en-GB"/>
        </w:rPr>
        <w:t xml:space="preserve"> </w:t>
      </w:r>
      <w:r w:rsidR="00436220" w:rsidRPr="0017063B">
        <w:rPr>
          <w:rFonts w:cstheme="minorHAnsi"/>
          <w:lang w:val="en-GB"/>
        </w:rPr>
        <w:fldChar w:fldCharType="begin" w:fldLock="1"/>
      </w:r>
      <w:r w:rsidR="006E31C3" w:rsidRPr="0017063B">
        <w:rPr>
          <w:rFonts w:cstheme="minorHAnsi"/>
          <w:lang w:val="en-GB"/>
        </w:rPr>
        <w:instrText>ADDIN CSL_CITATION {"citationItems":[{"id":"ITEM-1","itemData":{"DOI":"10.1038/sj.ejcn.1601107","ISBN":"0954-3007","ISSN":"0954-3007","PMID":"11114689","abstract":"Objectives: Despite increasing interest in the concept of calibration in\\ndietary surveys, there is still little experience in the use and\\nstandardization of a common reference dietary method, especially in\\ninternational studies. In this paper, we present the general theoretical\\nframework and the approaches developed to standardize the\\ncomputer-assisted 24 h diet recall method (EPIC-SOFT) used to collect\\nabout 37 000 24-h dietary recall measurements (24-HDR) from the 10\\ncountries participating in the European Prospective Investigation into\\nCancer and Nutrition (EPIC). In addition, an analysis of variance was\\nperformed to examine the level of standardization of EPIC-SOFT across\\nthe 90 interviewers involved in the study.\\nMethods: The analysis of variance used a random effects model in which\\nmean energy intake per interviewer was used as the dependent variable,\\nwhile age, body mass index (BMI), energy requirement, week day,season,\\nspecial diet, special day, physical activity and the EPIC-SOFT version\\nwere used as independent variables. The analysis was performed\\nseparately for men and women.\\nResults: The results show no statistical difference between interviewers\\nin all countries for men and five out of eight countries for women,\\nafter adjustment for physical activity and the EPIC-SOFT program version\\nused, and the exclusion of one interviewer in Germany (for men), and one\\nin Denmark (for women). These results showed an interviewer effect in\\ncertain countries and a significant difference between gender,\\nsuggesting an underlying respondent's effect due to the higher\\nunder-reporting among women that was consistently observed in EPIC.\\nHowever, the actual difference between interviewer and country mean\\nenergy intakes is about 10%. Furthermore, no statistical differences in\\nmean energy intakes were observed across centres from the same country,\\nexcept in Italy and Germany for men, and France and Spain for women,\\nwhere the populations were recruited from areas scattered throughout the\\ncountries.\\nConclusion: Despite these encouraging results and the efforts to\\nstandardize the 24-HDR interview method, conscious or unconscious\\nbehaviour of respondents and/or interviewer bias cannot be prevented\\nentirely. Further evaluation of the reliability of EPIC-SOFT\\nmeasurements will be conducted through validation against independent\\nbiological markers (nitrogen, potassium).","author":[{"dropping-particle":"","family":"Slimani","given":"N","non-dropping-particle":"","parse-names":false,"suffix":""},{"dropping-particle":"","family":"Ferrari","given":"P","non-dropping-particle":"","parse-names":false,"suffix":""},{"dropping-particle":"","family":"Ocke","given":"M","non-dropping-particle":"","parse-names":false,"suffix":""},{"dropping-particle":"","family":"Welch","given":"A","non-dropping-particle":"","parse-names":false,"suffix":""},{"dropping-particle":"","family":"Boeing","given":"H","non-dropping-particle":"","parse-names":false,"suffix":""},{"dropping-particle":"","family":"Liere","given":"M","non-dropping-particle":"van","parse-names":false,"suffix":""},{"dropping-particle":"","family":"Pala","given":"V","non-dropping-particle":"","parse-names":false,"suffix":""},{"dropping-particle":"","family":"Amiano","given":"P","non-dropping-particle":"","parse-names":false,"suffix":""},{"dropping-particle":"","family":"Lagiou","given":"A","non-dropping-particle":"","parse-names":false,"suffix":""},{"dropping-particle":"","family":"Mattisson","given":"I","non-dropping-particle":"","parse-names":false,"suffix":""},{"dropping-particle":"","family":"Stripp","given":"C","non-dropping-particle":"","parse-names":false,"suffix":""},{"dropping-particle":"","family":"Engeset","given":"D","non-dropping-particle":"","parse-names":false,"suffix":""},{"dropping-particle":"","family":"Charrondiere","given":"R","non-dropping-particle":"","parse-names":false,"suffix":""},{"dropping-particle":"","family":"Buzzard","given":"M","non-dropping-particle":"","parse-names":false,"suffix":""},{"dropping-particle":"","family":"Staveren","given":"W","non-dropping-particle":"van","parse-names":false,"suffix":""},{"dropping-particle":"","family":"Riboli","given":"E","non-dropping-particle":"","parse-names":false,"suffix":""}],"container-title":"European Journal of Clinical Nutrition","id":"ITEM-1","issue":"12","issued":{"date-parts":[["2000"]]},"page":"900-917","title":"Standardization of the 24-hour diet recall calibration method used in the European Prospective Investigation into Cancer and Nutrition (EPIC): general concepts and preliminary results","type":"article-journal","volume":"54"},"uris":["http://www.mendeley.com/documents/?uuid=7c44e26a-bfd9-4a77-85f6-f690ea0e5845"]}],"mendeley":{"formattedCitation":"(Slimani et al. 2000)","plainTextFormattedCitation":"(Slimani et al. 2000)","previouslyFormattedCitation":"(Slimani et al. 2000)"},"properties":{"noteIndex":0},"schema":"https://github.com/citation-style-language/schema/raw/master/csl-citation.json"}</w:instrText>
      </w:r>
      <w:r w:rsidR="00436220" w:rsidRPr="0017063B">
        <w:rPr>
          <w:rFonts w:cstheme="minorHAnsi"/>
          <w:lang w:val="en-GB"/>
        </w:rPr>
        <w:fldChar w:fldCharType="separate"/>
      </w:r>
      <w:r w:rsidR="00436220" w:rsidRPr="0017063B">
        <w:rPr>
          <w:rFonts w:cstheme="minorHAnsi"/>
          <w:noProof/>
          <w:lang w:val="en-GB"/>
        </w:rPr>
        <w:t>(Slimani et al. 2000)</w:t>
      </w:r>
      <w:r w:rsidR="00436220" w:rsidRPr="0017063B">
        <w:rPr>
          <w:rFonts w:cstheme="minorHAnsi"/>
          <w:lang w:val="en-GB"/>
        </w:rPr>
        <w:fldChar w:fldCharType="end"/>
      </w:r>
    </w:p>
    <w:tbl>
      <w:tblPr>
        <w:tblStyle w:val="Onopgemaaktetabel42"/>
        <w:tblW w:w="14186" w:type="dxa"/>
        <w:tblCellMar>
          <w:left w:w="85" w:type="dxa"/>
          <w:right w:w="85" w:type="dxa"/>
        </w:tblCellMar>
        <w:tblLook w:val="04A0" w:firstRow="1" w:lastRow="0" w:firstColumn="1" w:lastColumn="0" w:noHBand="0" w:noVBand="1"/>
      </w:tblPr>
      <w:tblGrid>
        <w:gridCol w:w="1602"/>
        <w:gridCol w:w="1596"/>
        <w:gridCol w:w="10988"/>
      </w:tblGrid>
      <w:tr w:rsidR="0017063B" w:rsidRPr="0017063B" w14:paraId="4219FA5C" w14:textId="77777777" w:rsidTr="009A0D61">
        <w:trPr>
          <w:cnfStyle w:val="100000000000" w:firstRow="1" w:lastRow="0" w:firstColumn="0" w:lastColumn="0" w:oddVBand="0" w:evenVBand="0" w:oddHBand="0"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602" w:type="dxa"/>
            <w:noWrap/>
            <w:hideMark/>
          </w:tcPr>
          <w:p w14:paraId="1D04A5BA" w14:textId="77777777" w:rsidR="00431E1E" w:rsidRPr="0017063B" w:rsidRDefault="00431E1E" w:rsidP="00E95188">
            <w:pPr>
              <w:jc w:val="both"/>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Category</w:t>
            </w:r>
          </w:p>
        </w:tc>
        <w:tc>
          <w:tcPr>
            <w:tcW w:w="1596" w:type="dxa"/>
          </w:tcPr>
          <w:p w14:paraId="565686BE" w14:textId="77777777" w:rsidR="00431E1E" w:rsidRPr="0017063B" w:rsidRDefault="00431E1E" w:rsidP="00E95188">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Aggregated groups</w:t>
            </w:r>
          </w:p>
        </w:tc>
        <w:tc>
          <w:tcPr>
            <w:tcW w:w="10988" w:type="dxa"/>
            <w:noWrap/>
            <w:hideMark/>
          </w:tcPr>
          <w:p w14:paraId="507C0D60" w14:textId="77777777" w:rsidR="00431E1E" w:rsidRPr="0017063B" w:rsidRDefault="00431E1E" w:rsidP="00E95188">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Products</w:t>
            </w:r>
          </w:p>
        </w:tc>
      </w:tr>
      <w:tr w:rsidR="0017063B" w:rsidRPr="0017063B" w14:paraId="5EB992D9" w14:textId="77777777" w:rsidTr="009A0D61">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602" w:type="dxa"/>
            <w:noWrap/>
            <w:hideMark/>
          </w:tcPr>
          <w:p w14:paraId="79A67722" w14:textId="77777777" w:rsidR="00431E1E" w:rsidRPr="0017063B" w:rsidRDefault="00431E1E" w:rsidP="00E95188">
            <w:pPr>
              <w:jc w:val="both"/>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Beverages</w:t>
            </w:r>
          </w:p>
        </w:tc>
        <w:tc>
          <w:tcPr>
            <w:tcW w:w="1596" w:type="dxa"/>
          </w:tcPr>
          <w:p w14:paraId="023539C8" w14:textId="77777777" w:rsidR="00431E1E" w:rsidRPr="0017063B" w:rsidRDefault="00083143" w:rsidP="00E9518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Alcoholic beverages, non-alcoholic beverages, soy milk</w:t>
            </w:r>
          </w:p>
        </w:tc>
        <w:tc>
          <w:tcPr>
            <w:tcW w:w="10988" w:type="dxa"/>
            <w:noWrap/>
            <w:hideMark/>
          </w:tcPr>
          <w:p w14:paraId="4EF66CD2" w14:textId="77777777" w:rsidR="00431E1E" w:rsidRPr="0017063B" w:rsidRDefault="00431E1E" w:rsidP="00E9518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Beer pilsner, Coffee Cappuccino freshly made, Coffee prepared, Drink soya natural, Gin young Dutch, Ice tea, Juice apple, Juice drink Dubbelfrisss, Juice drink Wicky, Juice orange freshly squeezed, Juice orange pasteurized, Mineral water average, Mineral water Bar le Duc, Mineral water Spa, Soft drink cola w caffeine, Tea, Wine dry white, Wine red, Wine rose</w:t>
            </w:r>
          </w:p>
        </w:tc>
      </w:tr>
      <w:tr w:rsidR="0017063B" w:rsidRPr="0017063B" w14:paraId="12FF82F2" w14:textId="77777777" w:rsidTr="009A0D61">
        <w:trPr>
          <w:trHeight w:val="206"/>
        </w:trPr>
        <w:tc>
          <w:tcPr>
            <w:cnfStyle w:val="001000000000" w:firstRow="0" w:lastRow="0" w:firstColumn="1" w:lastColumn="0" w:oddVBand="0" w:evenVBand="0" w:oddHBand="0" w:evenHBand="0" w:firstRowFirstColumn="0" w:firstRowLastColumn="0" w:lastRowFirstColumn="0" w:lastRowLastColumn="0"/>
            <w:tcW w:w="1602" w:type="dxa"/>
            <w:noWrap/>
            <w:hideMark/>
          </w:tcPr>
          <w:p w14:paraId="10438885" w14:textId="77777777" w:rsidR="00431E1E" w:rsidRPr="0017063B" w:rsidRDefault="00431E1E" w:rsidP="00E95188">
            <w:pPr>
              <w:jc w:val="both"/>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Cereals</w:t>
            </w:r>
          </w:p>
        </w:tc>
        <w:tc>
          <w:tcPr>
            <w:tcW w:w="1596" w:type="dxa"/>
          </w:tcPr>
          <w:p w14:paraId="09D90932" w14:textId="77777777" w:rsidR="00431E1E" w:rsidRPr="0017063B" w:rsidRDefault="00083143"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Cereals and cereal products,</w:t>
            </w:r>
          </w:p>
          <w:p w14:paraId="66428373" w14:textId="77777777" w:rsidR="00083143" w:rsidRPr="0017063B" w:rsidRDefault="00083143"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Cakes and snacks</w:t>
            </w:r>
          </w:p>
        </w:tc>
        <w:tc>
          <w:tcPr>
            <w:tcW w:w="10988" w:type="dxa"/>
            <w:noWrap/>
            <w:hideMark/>
          </w:tcPr>
          <w:p w14:paraId="20B9CD23" w14:textId="44F29AB0" w:rsidR="00431E1E" w:rsidRPr="0017063B" w:rsidRDefault="00431E1E"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Baguette white, Bread multigrain average w seeds, Bread rye average, Bread white water based, Bread wholemeal average, Bun currant/raisin, Chips pre-fried, Croissant, Dough for pizza and savoury pie, Flour wheat-, Pasta white boiled, Roll white hard, Roll white soft, Snack sausage roll puff pastry</w:t>
            </w:r>
          </w:p>
        </w:tc>
      </w:tr>
      <w:tr w:rsidR="0017063B" w:rsidRPr="0017063B" w14:paraId="32CBF86A" w14:textId="77777777" w:rsidTr="009A0D61">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602" w:type="dxa"/>
            <w:noWrap/>
            <w:hideMark/>
          </w:tcPr>
          <w:p w14:paraId="6F4F3F79" w14:textId="77777777" w:rsidR="00431E1E" w:rsidRPr="0017063B" w:rsidRDefault="00431E1E" w:rsidP="00E95188">
            <w:pPr>
              <w:jc w:val="both"/>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Dairy</w:t>
            </w:r>
          </w:p>
        </w:tc>
        <w:tc>
          <w:tcPr>
            <w:tcW w:w="1596" w:type="dxa"/>
          </w:tcPr>
          <w:p w14:paraId="4E4302B0" w14:textId="77777777" w:rsidR="00431E1E" w:rsidRPr="0017063B" w:rsidRDefault="00083143" w:rsidP="00E9518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Dairy, ice cream, butter</w:t>
            </w:r>
          </w:p>
        </w:tc>
        <w:tc>
          <w:tcPr>
            <w:tcW w:w="10988" w:type="dxa"/>
            <w:noWrap/>
            <w:hideMark/>
          </w:tcPr>
          <w:p w14:paraId="7BCAEBFB" w14:textId="77777777" w:rsidR="00431E1E" w:rsidRPr="0017063B" w:rsidRDefault="00431E1E" w:rsidP="00E9518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Butter salted, Butter unsalted, Buttermilk, Cheese 20+, Cheese Edam 40+, Cheese goat fresh, Cheese Gouda 48+ average, Cheese Old Amsterdam 48+, Cheese spread 48+, Cream whipping, Custard several flavours full fat, Custard vanilla full fat, Fromage frais full fat, Ice cream dairy cream based, Milk chocolate-flavoured full fat, Milk chocolate-flavoured semi-skimmed, Milk semi-skimmed, Milk skimmed, Milk whole, Yoghurt drink Optimel with sweetners, Yoghurt full fat, Yoghurt half fat, Yoghurt low fat, Yoghurt low fat with fruit</w:t>
            </w:r>
          </w:p>
        </w:tc>
      </w:tr>
      <w:tr w:rsidR="0017063B" w:rsidRPr="0017063B" w14:paraId="58953A5F" w14:textId="77777777" w:rsidTr="009A0D61">
        <w:trPr>
          <w:trHeight w:val="206"/>
        </w:trPr>
        <w:tc>
          <w:tcPr>
            <w:cnfStyle w:val="001000000000" w:firstRow="0" w:lastRow="0" w:firstColumn="1" w:lastColumn="0" w:oddVBand="0" w:evenVBand="0" w:oddHBand="0" w:evenHBand="0" w:firstRowFirstColumn="0" w:firstRowLastColumn="0" w:lastRowFirstColumn="0" w:lastRowLastColumn="0"/>
            <w:tcW w:w="1602" w:type="dxa"/>
            <w:noWrap/>
            <w:hideMark/>
          </w:tcPr>
          <w:p w14:paraId="5605DAA4" w14:textId="77777777" w:rsidR="00431E1E" w:rsidRPr="0017063B" w:rsidRDefault="00431E1E" w:rsidP="00E95188">
            <w:pPr>
              <w:jc w:val="both"/>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Fat</w:t>
            </w:r>
          </w:p>
        </w:tc>
        <w:tc>
          <w:tcPr>
            <w:tcW w:w="1596" w:type="dxa"/>
          </w:tcPr>
          <w:p w14:paraId="39A1A124" w14:textId="77777777" w:rsidR="00431E1E" w:rsidRPr="0017063B" w:rsidRDefault="00431E1E"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p>
        </w:tc>
        <w:tc>
          <w:tcPr>
            <w:tcW w:w="10988" w:type="dxa"/>
            <w:noWrap/>
            <w:hideMark/>
          </w:tcPr>
          <w:p w14:paraId="08AFBA92" w14:textId="77777777" w:rsidR="00431E1E" w:rsidRPr="0017063B" w:rsidRDefault="00431E1E"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Frying fat horeca, Low fat margarine 40% fat &lt;17 g sat</w:t>
            </w:r>
            <w:r w:rsidR="00F91A6C" w:rsidRPr="0017063B">
              <w:rPr>
                <w:rFonts w:ascii="Calibri" w:eastAsia="Times New Roman" w:hAnsi="Calibri" w:cs="Calibri"/>
                <w:sz w:val="20"/>
                <w:szCs w:val="20"/>
                <w:lang w:val="en-GB" w:eastAsia="nl-NL"/>
              </w:rPr>
              <w:t>urated</w:t>
            </w:r>
            <w:r w:rsidRPr="0017063B">
              <w:rPr>
                <w:rFonts w:ascii="Calibri" w:eastAsia="Times New Roman" w:hAnsi="Calibri" w:cs="Calibri"/>
                <w:sz w:val="20"/>
                <w:szCs w:val="20"/>
                <w:lang w:val="en-GB" w:eastAsia="nl-NL"/>
              </w:rPr>
              <w:t>, Margarine 80% fat &lt;24 g saturated, Oil olive-, Oil sunflower-</w:t>
            </w:r>
          </w:p>
        </w:tc>
      </w:tr>
      <w:tr w:rsidR="0017063B" w:rsidRPr="0017063B" w14:paraId="439C8D10" w14:textId="77777777" w:rsidTr="009A0D61">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602" w:type="dxa"/>
            <w:noWrap/>
            <w:hideMark/>
          </w:tcPr>
          <w:p w14:paraId="6FED255A" w14:textId="77777777" w:rsidR="00431E1E" w:rsidRPr="0017063B" w:rsidRDefault="00431E1E" w:rsidP="00E95188">
            <w:pPr>
              <w:jc w:val="both"/>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Fish</w:t>
            </w:r>
          </w:p>
        </w:tc>
        <w:tc>
          <w:tcPr>
            <w:tcW w:w="1596" w:type="dxa"/>
          </w:tcPr>
          <w:p w14:paraId="77BEDB8A" w14:textId="77777777" w:rsidR="00431E1E" w:rsidRPr="0017063B" w:rsidRDefault="00431E1E" w:rsidP="00E9518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GB" w:eastAsia="nl-NL"/>
              </w:rPr>
            </w:pPr>
          </w:p>
        </w:tc>
        <w:tc>
          <w:tcPr>
            <w:tcW w:w="10988" w:type="dxa"/>
            <w:noWrap/>
            <w:hideMark/>
          </w:tcPr>
          <w:p w14:paraId="6FF9220F" w14:textId="77777777" w:rsidR="00431E1E" w:rsidRPr="0017063B" w:rsidRDefault="00431E1E" w:rsidP="00E9518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Alaska Pollack fillet, Claresse fillet (catfish), Cod fillet, Fish fingers, Herring in tomato sauce, Herring marinated, Herring soused, Kibbeling, Lekkerbekje, Mackerel, Pangasius fillet, Plaice fillet, Salmon fillet, from aquaculture, Salmon fillet, wild caught, Shrimps Dutch peeled boiled, Tilapia fillet, Trout, Tuna</w:t>
            </w:r>
          </w:p>
        </w:tc>
      </w:tr>
      <w:tr w:rsidR="0017063B" w:rsidRPr="0017063B" w14:paraId="2F1EEB40" w14:textId="77777777" w:rsidTr="009A0D61">
        <w:trPr>
          <w:trHeight w:val="206"/>
        </w:trPr>
        <w:tc>
          <w:tcPr>
            <w:cnfStyle w:val="001000000000" w:firstRow="0" w:lastRow="0" w:firstColumn="1" w:lastColumn="0" w:oddVBand="0" w:evenVBand="0" w:oddHBand="0" w:evenHBand="0" w:firstRowFirstColumn="0" w:firstRowLastColumn="0" w:lastRowFirstColumn="0" w:lastRowLastColumn="0"/>
            <w:tcW w:w="1602" w:type="dxa"/>
            <w:noWrap/>
            <w:hideMark/>
          </w:tcPr>
          <w:p w14:paraId="67DC8324" w14:textId="77777777" w:rsidR="00431E1E" w:rsidRPr="0017063B" w:rsidRDefault="00431E1E" w:rsidP="00E95188">
            <w:pPr>
              <w:jc w:val="both"/>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Fruit</w:t>
            </w:r>
          </w:p>
        </w:tc>
        <w:tc>
          <w:tcPr>
            <w:tcW w:w="1596" w:type="dxa"/>
          </w:tcPr>
          <w:p w14:paraId="119FDE3D" w14:textId="77777777" w:rsidR="00431E1E" w:rsidRPr="0017063B" w:rsidRDefault="00083143"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Fruits, Nuts and Seeds</w:t>
            </w:r>
          </w:p>
        </w:tc>
        <w:tc>
          <w:tcPr>
            <w:tcW w:w="10988" w:type="dxa"/>
            <w:noWrap/>
            <w:hideMark/>
          </w:tcPr>
          <w:p w14:paraId="3D1D7BB0" w14:textId="77777777" w:rsidR="00431E1E" w:rsidRPr="0017063B" w:rsidRDefault="00431E1E"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Apple with skin average, Apple without skin average, Banana, Cashew nuts unsalted, Grapes with skin average, Kiwi fruit, Manderins, Orange, Peach without skin, Peanuts unsalted, Pineapple, Strawberries, greenhouse, Strawberries, open field, Strawberries, Walnuts</w:t>
            </w:r>
          </w:p>
        </w:tc>
      </w:tr>
      <w:tr w:rsidR="0017063B" w:rsidRPr="0017063B" w14:paraId="07542D6B" w14:textId="77777777" w:rsidTr="009A0D61">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602" w:type="dxa"/>
            <w:noWrap/>
            <w:hideMark/>
          </w:tcPr>
          <w:p w14:paraId="5033C7B2" w14:textId="77777777" w:rsidR="00431E1E" w:rsidRPr="0017063B" w:rsidRDefault="00431E1E" w:rsidP="00E95188">
            <w:pPr>
              <w:jc w:val="both"/>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Meat</w:t>
            </w:r>
          </w:p>
        </w:tc>
        <w:tc>
          <w:tcPr>
            <w:tcW w:w="1596" w:type="dxa"/>
          </w:tcPr>
          <w:p w14:paraId="6D80E282" w14:textId="108A31C7" w:rsidR="00431E1E" w:rsidRPr="0017063B" w:rsidRDefault="00627DD2" w:rsidP="00E9518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E</w:t>
            </w:r>
            <w:r w:rsidR="00975E52" w:rsidRPr="0017063B">
              <w:rPr>
                <w:rFonts w:ascii="Calibri" w:eastAsia="Times New Roman" w:hAnsi="Calibri" w:cs="Calibri"/>
                <w:sz w:val="20"/>
                <w:szCs w:val="20"/>
                <w:lang w:val="en-GB" w:eastAsia="nl-NL"/>
              </w:rPr>
              <w:t>gg</w:t>
            </w:r>
          </w:p>
        </w:tc>
        <w:tc>
          <w:tcPr>
            <w:tcW w:w="10988" w:type="dxa"/>
            <w:noWrap/>
            <w:hideMark/>
          </w:tcPr>
          <w:p w14:paraId="047E962F" w14:textId="77777777" w:rsidR="00431E1E" w:rsidRPr="0017063B" w:rsidRDefault="00431E1E" w:rsidP="00E9518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Bacon rashers streaky, Beef frying steak prepared, Beef roast prepared, Beef rump steak prepared, Beef smoke-dried, Beef steak tartare spiced filet americ, Chicken fillet prepared, Chicken with skin prepared, Croquette meat ragout deep-fried, Eggs chicken boiled average, Ham lean boiled, Ham shoulder medium fat boiled, Hamburger prepared, Lamb &gt;10 g fat raw average, Liver pate sausage, Minced beef shallow fried, Minced beef/pork shallow fried, Minced meat loaf fried, Pork &lt;5% fat raw, Pork 5-14% fat raw, Pork shoulder chop prepared, Salami sausage saveloy, Sandwich meat chicken, Sausage cooked, Sausage Dutch Frikandel deep-fried, Sausage frankfurter tinned, Sausage luncheon meat, Sausage pork Braadworst prepared, Sausage raw beef, Sausage smoked beef cooked</w:t>
            </w:r>
          </w:p>
        </w:tc>
      </w:tr>
      <w:tr w:rsidR="0017063B" w:rsidRPr="0017063B" w14:paraId="0720E2D2" w14:textId="77777777" w:rsidTr="009A0D61">
        <w:trPr>
          <w:trHeight w:val="206"/>
        </w:trPr>
        <w:tc>
          <w:tcPr>
            <w:cnfStyle w:val="001000000000" w:firstRow="0" w:lastRow="0" w:firstColumn="1" w:lastColumn="0" w:oddVBand="0" w:evenVBand="0" w:oddHBand="0" w:evenHBand="0" w:firstRowFirstColumn="0" w:firstRowLastColumn="0" w:lastRowFirstColumn="0" w:lastRowLastColumn="0"/>
            <w:tcW w:w="1602" w:type="dxa"/>
            <w:noWrap/>
            <w:hideMark/>
          </w:tcPr>
          <w:p w14:paraId="435F1905" w14:textId="77777777" w:rsidR="00431E1E" w:rsidRPr="0017063B" w:rsidRDefault="00431E1E" w:rsidP="00E95188">
            <w:pPr>
              <w:jc w:val="both"/>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Vegetables</w:t>
            </w:r>
          </w:p>
        </w:tc>
        <w:tc>
          <w:tcPr>
            <w:tcW w:w="1596" w:type="dxa"/>
          </w:tcPr>
          <w:p w14:paraId="324FA2AB" w14:textId="77777777" w:rsidR="00431E1E" w:rsidRPr="0017063B" w:rsidRDefault="00083143"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Vegetables</w:t>
            </w:r>
          </w:p>
          <w:p w14:paraId="34204965" w14:textId="77777777" w:rsidR="00083143" w:rsidRPr="0017063B" w:rsidRDefault="00083143"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Potatoes</w:t>
            </w:r>
          </w:p>
          <w:p w14:paraId="55AC8846" w14:textId="77777777" w:rsidR="00083143" w:rsidRPr="0017063B" w:rsidRDefault="00083143"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Legumes</w:t>
            </w:r>
          </w:p>
        </w:tc>
        <w:tc>
          <w:tcPr>
            <w:tcW w:w="10988" w:type="dxa"/>
            <w:noWrap/>
            <w:hideMark/>
          </w:tcPr>
          <w:p w14:paraId="56F4C470" w14:textId="77777777" w:rsidR="00431E1E" w:rsidRPr="0017063B" w:rsidRDefault="00431E1E" w:rsidP="00E9518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Beans French boiled, Beans French frozen boiled, Beans French tinned, Broccoli boiled, Brown beans tinned/glas, Carrots boiled average, Cauliflower boiled, Chicory boiled, Courgettes boiled, Crisps potato average, Cucumber w skin raw, Cucumber wo skin raw, Kale curly boiled, Lettuce average raw, Lettuce head raw, Mashed potatoes made with semi-skimed milk, Mushroom boiled, Onions boiled, Peas and carrots tinned, Peas frozen boiled, Potatoes wo skins boiled average, Spinach frozen boiled, Sweetcorn glas, Sweetcorn tinned, Tomato average boiled, Tomato average raw</w:t>
            </w:r>
          </w:p>
        </w:tc>
      </w:tr>
      <w:tr w:rsidR="0017063B" w:rsidRPr="0017063B" w14:paraId="23DDBC6E" w14:textId="77777777" w:rsidTr="009A0D61">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602" w:type="dxa"/>
            <w:noWrap/>
            <w:hideMark/>
          </w:tcPr>
          <w:p w14:paraId="13AA3582" w14:textId="77777777" w:rsidR="00431E1E" w:rsidRPr="0017063B" w:rsidRDefault="00431E1E" w:rsidP="00E95188">
            <w:pPr>
              <w:jc w:val="both"/>
              <w:rPr>
                <w:rFonts w:ascii="Calibri" w:eastAsia="Times New Roman" w:hAnsi="Calibri" w:cs="Calibri"/>
                <w:sz w:val="20"/>
                <w:szCs w:val="20"/>
                <w:lang w:val="en-GB" w:eastAsia="nl-NL"/>
              </w:rPr>
            </w:pPr>
            <w:r w:rsidRPr="0017063B">
              <w:rPr>
                <w:rFonts w:ascii="Calibri" w:eastAsia="Times New Roman" w:hAnsi="Calibri" w:cs="Calibri"/>
                <w:sz w:val="20"/>
                <w:szCs w:val="20"/>
                <w:lang w:val="en-GB" w:eastAsia="nl-NL"/>
              </w:rPr>
              <w:t>Other</w:t>
            </w:r>
          </w:p>
        </w:tc>
        <w:tc>
          <w:tcPr>
            <w:tcW w:w="1596" w:type="dxa"/>
          </w:tcPr>
          <w:p w14:paraId="03D37DF1" w14:textId="77777777" w:rsidR="00431E1E" w:rsidRPr="0017063B" w:rsidRDefault="00431E1E" w:rsidP="00E9518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eastAsia="nl-NL"/>
              </w:rPr>
            </w:pPr>
          </w:p>
        </w:tc>
        <w:tc>
          <w:tcPr>
            <w:tcW w:w="10988" w:type="dxa"/>
            <w:noWrap/>
            <w:hideMark/>
          </w:tcPr>
          <w:p w14:paraId="6393457D" w14:textId="77777777" w:rsidR="00431E1E" w:rsidRPr="0017063B" w:rsidRDefault="00431E1E" w:rsidP="00E9518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lang w:eastAsia="nl-NL"/>
              </w:rPr>
            </w:pPr>
            <w:r w:rsidRPr="0017063B">
              <w:rPr>
                <w:rFonts w:ascii="Calibri" w:eastAsia="Times New Roman" w:hAnsi="Calibri" w:cs="Calibri"/>
                <w:sz w:val="20"/>
                <w:szCs w:val="20"/>
                <w:lang w:eastAsia="nl-NL"/>
              </w:rPr>
              <w:t>Sugar granulated</w:t>
            </w:r>
          </w:p>
        </w:tc>
      </w:tr>
    </w:tbl>
    <w:p w14:paraId="0C9290A5" w14:textId="77777777" w:rsidR="00412E76" w:rsidRPr="0017063B" w:rsidRDefault="00412E76" w:rsidP="00E95188">
      <w:pPr>
        <w:pStyle w:val="KeinLeerraum"/>
        <w:jc w:val="both"/>
        <w:rPr>
          <w:sz w:val="20"/>
          <w:szCs w:val="20"/>
          <w:lang w:val="en-GB"/>
        </w:rPr>
      </w:pPr>
    </w:p>
    <w:p w14:paraId="6DC3C4C2" w14:textId="77777777" w:rsidR="009A0D61" w:rsidRPr="0017063B" w:rsidRDefault="009A0D61" w:rsidP="00E95188">
      <w:pPr>
        <w:pStyle w:val="KeinLeerraum"/>
        <w:jc w:val="both"/>
        <w:rPr>
          <w:sz w:val="20"/>
          <w:szCs w:val="20"/>
          <w:lang w:val="en-GB"/>
        </w:rPr>
        <w:sectPr w:rsidR="009A0D61" w:rsidRPr="0017063B" w:rsidSect="009A0D61">
          <w:type w:val="continuous"/>
          <w:pgSz w:w="16838" w:h="11906" w:orient="landscape"/>
          <w:pgMar w:top="1418" w:right="1418" w:bottom="1418" w:left="1418" w:header="709" w:footer="709" w:gutter="0"/>
          <w:cols w:space="708"/>
          <w:docGrid w:linePitch="360"/>
        </w:sectPr>
      </w:pPr>
    </w:p>
    <w:p w14:paraId="2825CE2C" w14:textId="479697EC" w:rsidR="00954D41" w:rsidRPr="0017063B" w:rsidRDefault="0017063B" w:rsidP="00E95188">
      <w:pPr>
        <w:pStyle w:val="KeinLeerraum"/>
        <w:jc w:val="both"/>
        <w:rPr>
          <w:b/>
          <w:lang w:val="en-GB"/>
        </w:rPr>
      </w:pPr>
      <w:r>
        <w:rPr>
          <w:b/>
          <w:lang w:val="en-GB"/>
        </w:rPr>
        <w:lastRenderedPageBreak/>
        <w:t xml:space="preserve">3 </w:t>
      </w:r>
      <w:r w:rsidR="002E5764" w:rsidRPr="0017063B">
        <w:rPr>
          <w:b/>
          <w:lang w:val="en-GB"/>
        </w:rPr>
        <w:t>R</w:t>
      </w:r>
      <w:r w:rsidR="0053471C" w:rsidRPr="0017063B">
        <w:rPr>
          <w:b/>
          <w:lang w:val="en-GB"/>
        </w:rPr>
        <w:t>esults</w:t>
      </w:r>
    </w:p>
    <w:p w14:paraId="20A45B17" w14:textId="77777777" w:rsidR="00627DD2" w:rsidRPr="0017063B" w:rsidRDefault="00627DD2" w:rsidP="00E95188">
      <w:pPr>
        <w:pStyle w:val="KeinLeerraum"/>
        <w:jc w:val="both"/>
        <w:rPr>
          <w:lang w:val="en-GB"/>
        </w:rPr>
      </w:pPr>
    </w:p>
    <w:p w14:paraId="4D633A90" w14:textId="060234D3" w:rsidR="00A834F8" w:rsidRPr="0017063B" w:rsidRDefault="00965BEF" w:rsidP="00E95188">
      <w:pPr>
        <w:pStyle w:val="KeinLeerraum"/>
        <w:jc w:val="both"/>
        <w:rPr>
          <w:lang w:val="en-GB"/>
        </w:rPr>
      </w:pPr>
      <w:r w:rsidRPr="0017063B">
        <w:rPr>
          <w:lang w:val="en-GB"/>
        </w:rPr>
        <w:t>This section provides additional results of the analyses.</w:t>
      </w:r>
      <w:r w:rsidR="00EE320D" w:rsidRPr="0017063B">
        <w:rPr>
          <w:lang w:val="en-GB"/>
        </w:rPr>
        <w:t xml:space="preserve"> </w:t>
      </w:r>
    </w:p>
    <w:p w14:paraId="72CA7236" w14:textId="77777777" w:rsidR="00383E36" w:rsidRPr="0017063B" w:rsidRDefault="00383E36" w:rsidP="00E95188">
      <w:pPr>
        <w:pStyle w:val="KeinLeerraum"/>
        <w:keepNext/>
        <w:jc w:val="both"/>
        <w:rPr>
          <w:lang w:val="en-GB"/>
        </w:rPr>
      </w:pPr>
      <w:r w:rsidRPr="0017063B">
        <w:rPr>
          <w:noProof/>
          <w:lang w:val="de-DE" w:eastAsia="de-DE"/>
        </w:rPr>
        <w:drawing>
          <wp:inline distT="0" distB="0" distL="0" distR="0" wp14:anchorId="66ADD934" wp14:editId="36728711">
            <wp:extent cx="4761905" cy="2380952"/>
            <wp:effectExtent l="0" t="0" r="635" b="635"/>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61905" cy="2380952"/>
                    </a:xfrm>
                    <a:prstGeom prst="rect">
                      <a:avLst/>
                    </a:prstGeom>
                  </pic:spPr>
                </pic:pic>
              </a:graphicData>
            </a:graphic>
          </wp:inline>
        </w:drawing>
      </w:r>
    </w:p>
    <w:p w14:paraId="5B8C81E5" w14:textId="7E88A6C7" w:rsidR="00954D41" w:rsidRPr="0017063B" w:rsidRDefault="0017063B" w:rsidP="00E95188">
      <w:pPr>
        <w:pStyle w:val="Beschriftung"/>
        <w:jc w:val="both"/>
        <w:rPr>
          <w:b/>
          <w:i w:val="0"/>
          <w:color w:val="auto"/>
          <w:sz w:val="20"/>
          <w:szCs w:val="20"/>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2</w:t>
      </w:r>
      <w:r w:rsidR="00383E36" w:rsidRPr="0017063B">
        <w:rPr>
          <w:i w:val="0"/>
          <w:color w:val="auto"/>
          <w:lang w:val="en-GB"/>
        </w:rPr>
        <w:t xml:space="preserve"> Pre</w:t>
      </w:r>
      <w:r w:rsidR="00204146" w:rsidRPr="0017063B">
        <w:rPr>
          <w:i w:val="0"/>
          <w:color w:val="auto"/>
          <w:lang w:val="en-GB"/>
        </w:rPr>
        <w:t>dicted environmental damage to human health, ecosystems and resources in ReCiPe 2008 and ReCiPe 2016 for three different value choices.</w:t>
      </w:r>
    </w:p>
    <w:p w14:paraId="386006D5" w14:textId="6A3C9F42" w:rsidR="00383E36" w:rsidRPr="0017063B" w:rsidRDefault="00D1316D" w:rsidP="00E95188">
      <w:pPr>
        <w:pStyle w:val="KeinLeerraum"/>
        <w:jc w:val="both"/>
        <w:rPr>
          <w:lang w:val="en-GB"/>
        </w:rPr>
      </w:pPr>
      <w:r w:rsidRPr="0017063B">
        <w:rPr>
          <w:lang w:val="en-GB"/>
        </w:rPr>
        <w:t>The effect of different value choices is different for ReCiPe 2008 compared to ReCiPe 2016 (</w:t>
      </w:r>
      <w:r w:rsidR="0017063B">
        <w:rPr>
          <w:lang w:val="en-GB"/>
        </w:rPr>
        <w:t xml:space="preserve">Fig. </w:t>
      </w:r>
      <w:r w:rsidR="00965BEF" w:rsidRPr="0017063B">
        <w:rPr>
          <w:lang w:val="en-GB"/>
        </w:rPr>
        <w:t>S</w:t>
      </w:r>
      <w:r w:rsidR="00A834F8" w:rsidRPr="0017063B">
        <w:rPr>
          <w:lang w:val="en-GB"/>
        </w:rPr>
        <w:t>2</w:t>
      </w:r>
      <w:r w:rsidRPr="0017063B">
        <w:rPr>
          <w:lang w:val="en-GB"/>
        </w:rPr>
        <w:t xml:space="preserve">). Within ReCiPe 2008 there is no significant difference between damage predicted to human health from an hierarchist perspective and from an individualist perspective (p=0.53). Damage to human health predicted from an egalitarian perspective is significantly different from both other perspectives (p&lt;0.05). Within ReCiPe 2016 the three different perspectives predict significantly different impacts. ReCiPe 2008 </w:t>
      </w:r>
      <w:r w:rsidR="007E59EC" w:rsidRPr="0017063B">
        <w:rPr>
          <w:lang w:val="en-GB"/>
        </w:rPr>
        <w:t xml:space="preserve">predicts no significantly different impacts with the three different value choices. Within ReCiPe 2016 the egalitarian perspective predicts significantly different impacts than those from an individualist (p&lt;0.001) or hierarchist perspective (p&lt;0.05). Damage to resources is predicted to be equal in ReCiPe 2008 for a hierarchist and an egalitarian (p=1), while significantly differing from the damage predicted from an individualist perspective (p&lt;0.001). ReCiPe 2016 predicts there to be </w:t>
      </w:r>
      <w:r w:rsidR="00D00F8F" w:rsidRPr="0017063B">
        <w:rPr>
          <w:lang w:val="en-GB"/>
        </w:rPr>
        <w:t>no significant</w:t>
      </w:r>
      <w:r w:rsidR="007E59EC" w:rsidRPr="0017063B">
        <w:rPr>
          <w:lang w:val="en-GB"/>
        </w:rPr>
        <w:t xml:space="preserve"> differences betwe</w:t>
      </w:r>
      <w:r w:rsidR="00D00F8F" w:rsidRPr="0017063B">
        <w:rPr>
          <w:lang w:val="en-GB"/>
        </w:rPr>
        <w:t>en the three value choices</w:t>
      </w:r>
      <w:r w:rsidR="00EE320D" w:rsidRPr="0017063B">
        <w:rPr>
          <w:lang w:val="en-GB"/>
        </w:rPr>
        <w:t xml:space="preserve">. </w:t>
      </w:r>
    </w:p>
    <w:p w14:paraId="56F2EEA5" w14:textId="77777777" w:rsidR="00D73C63" w:rsidRPr="0017063B" w:rsidRDefault="00D73C63" w:rsidP="00E95188">
      <w:pPr>
        <w:pStyle w:val="KeinLeerraum"/>
        <w:jc w:val="both"/>
        <w:rPr>
          <w:b/>
          <w:lang w:val="en-GB"/>
        </w:rPr>
      </w:pPr>
    </w:p>
    <w:p w14:paraId="40BA24E8" w14:textId="22D1118D" w:rsidR="0022334C" w:rsidRPr="0017063B" w:rsidRDefault="00830B89" w:rsidP="00E95188">
      <w:pPr>
        <w:pStyle w:val="KeinLeerraum"/>
        <w:jc w:val="both"/>
        <w:rPr>
          <w:lang w:val="en-GB"/>
        </w:rPr>
      </w:pPr>
      <w:r w:rsidRPr="0017063B">
        <w:rPr>
          <w:lang w:val="en-GB"/>
        </w:rPr>
        <w:t>There is no significant difference i</w:t>
      </w:r>
      <w:r w:rsidR="00F266C6" w:rsidRPr="0017063B">
        <w:rPr>
          <w:lang w:val="en-GB"/>
        </w:rPr>
        <w:t>n ranking of product categories</w:t>
      </w:r>
      <w:r w:rsidR="00A87BBA" w:rsidRPr="0017063B">
        <w:rPr>
          <w:lang w:val="en-GB"/>
        </w:rPr>
        <w:t xml:space="preserve"> in ReCiPe 2016 compared to ReCiPe 2008</w:t>
      </w:r>
      <w:r w:rsidR="00F266C6" w:rsidRPr="0017063B">
        <w:rPr>
          <w:lang w:val="en-GB"/>
        </w:rPr>
        <w:t xml:space="preserve">. </w:t>
      </w:r>
      <w:r w:rsidR="00A87BBA" w:rsidRPr="0017063B">
        <w:rPr>
          <w:lang w:val="en-GB"/>
        </w:rPr>
        <w:t>However, there are large diff</w:t>
      </w:r>
      <w:r w:rsidR="000720C3" w:rsidRPr="0017063B">
        <w:rPr>
          <w:lang w:val="en-GB"/>
        </w:rPr>
        <w:t xml:space="preserve">erences in absolute values and the difference between categories </w:t>
      </w:r>
      <w:r w:rsidR="009A36DA" w:rsidRPr="0017063B">
        <w:rPr>
          <w:lang w:val="en-GB"/>
        </w:rPr>
        <w:t>changes with</w:t>
      </w:r>
      <w:r w:rsidR="000720C3" w:rsidRPr="0017063B">
        <w:rPr>
          <w:lang w:val="en-GB"/>
        </w:rPr>
        <w:t xml:space="preserve"> ReCiPe 2016 (</w:t>
      </w:r>
      <w:r w:rsidR="0017063B">
        <w:rPr>
          <w:lang w:val="en-GB"/>
        </w:rPr>
        <w:t xml:space="preserve">Fig. </w:t>
      </w:r>
      <w:r w:rsidR="00911CDC" w:rsidRPr="0017063B">
        <w:rPr>
          <w:lang w:val="en-GB"/>
        </w:rPr>
        <w:t>S</w:t>
      </w:r>
      <w:r w:rsidR="00383E36" w:rsidRPr="0017063B">
        <w:rPr>
          <w:lang w:val="en-GB"/>
        </w:rPr>
        <w:t>3</w:t>
      </w:r>
      <w:r w:rsidR="000720C3" w:rsidRPr="0017063B">
        <w:rPr>
          <w:lang w:val="en-GB"/>
        </w:rPr>
        <w:t>).</w:t>
      </w:r>
      <w:r w:rsidR="009A36DA" w:rsidRPr="0017063B">
        <w:rPr>
          <w:lang w:val="en-GB"/>
        </w:rPr>
        <w:t xml:space="preserve"> </w:t>
      </w:r>
      <w:r w:rsidR="006B64A9" w:rsidRPr="0017063B">
        <w:rPr>
          <w:lang w:val="en-GB"/>
        </w:rPr>
        <w:t>From an individualist perspective</w:t>
      </w:r>
      <w:r w:rsidR="001A3209" w:rsidRPr="0017063B">
        <w:rPr>
          <w:lang w:val="en-GB"/>
        </w:rPr>
        <w:t>, product categories are predicted to have a more similar impact om human health and ecosystems in ReCiPe 2016. M</w:t>
      </w:r>
      <w:r w:rsidR="009A36DA" w:rsidRPr="0017063B">
        <w:rPr>
          <w:lang w:val="en-GB"/>
        </w:rPr>
        <w:t>eat products</w:t>
      </w:r>
      <w:r w:rsidR="001A3209" w:rsidRPr="0017063B">
        <w:rPr>
          <w:lang w:val="en-GB"/>
        </w:rPr>
        <w:t>, for example,</w:t>
      </w:r>
      <w:r w:rsidR="009A36DA" w:rsidRPr="0017063B">
        <w:rPr>
          <w:lang w:val="en-GB"/>
        </w:rPr>
        <w:t xml:space="preserve"> are predicted to have 2.6 times more impact on human health from an individualist perspective in ReCiPe 2008, while fish products have a slightly higher impact in ReCiPe 2016. </w:t>
      </w:r>
      <w:r w:rsidR="006B64A9" w:rsidRPr="0017063B">
        <w:rPr>
          <w:lang w:val="en-GB"/>
        </w:rPr>
        <w:t xml:space="preserve">This levelling of predicted impacts cause there to be less significant differences between different product categories. </w:t>
      </w:r>
      <w:r w:rsidR="00CA5CE2" w:rsidRPr="0017063B">
        <w:rPr>
          <w:lang w:val="en-GB"/>
        </w:rPr>
        <w:t>From a hierarchist perspective,</w:t>
      </w:r>
      <w:r w:rsidR="003C591B" w:rsidRPr="0017063B">
        <w:rPr>
          <w:lang w:val="en-GB"/>
        </w:rPr>
        <w:t xml:space="preserve"> </w:t>
      </w:r>
      <w:r w:rsidR="00CA5CE2" w:rsidRPr="0017063B">
        <w:rPr>
          <w:lang w:val="en-GB"/>
        </w:rPr>
        <w:t>the difference between ReCi</w:t>
      </w:r>
      <w:r w:rsidR="003C591B" w:rsidRPr="0017063B">
        <w:rPr>
          <w:lang w:val="en-GB"/>
        </w:rPr>
        <w:t xml:space="preserve">Pe 2008 and ReCiPe 2016 is smaller and levelling of predicted impacts is less. </w:t>
      </w:r>
      <w:r w:rsidR="00F713CE" w:rsidRPr="0017063B">
        <w:rPr>
          <w:lang w:val="en-GB"/>
        </w:rPr>
        <w:t xml:space="preserve">From an egalitarian perspective, </w:t>
      </w:r>
      <w:r w:rsidR="006D6AE7" w:rsidRPr="0017063B">
        <w:rPr>
          <w:lang w:val="en-GB"/>
        </w:rPr>
        <w:t xml:space="preserve">ReCiPe 2016 predicts higher impacts on human health than in ReCiPe 2008. </w:t>
      </w:r>
    </w:p>
    <w:p w14:paraId="4026A083" w14:textId="24FB80EB" w:rsidR="00CF4412" w:rsidRPr="0017063B" w:rsidRDefault="00CF4412" w:rsidP="00E95188">
      <w:pPr>
        <w:pStyle w:val="KeinLeerraum"/>
        <w:jc w:val="both"/>
        <w:rPr>
          <w:sz w:val="20"/>
          <w:szCs w:val="20"/>
          <w:lang w:val="en-GB"/>
        </w:rPr>
      </w:pPr>
      <w:r w:rsidRPr="0017063B">
        <w:rPr>
          <w:noProof/>
          <w:lang w:val="de-DE" w:eastAsia="de-DE"/>
        </w:rPr>
        <w:lastRenderedPageBreak/>
        <w:drawing>
          <wp:inline distT="0" distB="0" distL="0" distR="0" wp14:anchorId="62B47595" wp14:editId="400FD03D">
            <wp:extent cx="5759450" cy="2303780"/>
            <wp:effectExtent l="0" t="0" r="0" b="127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2303780"/>
                    </a:xfrm>
                    <a:prstGeom prst="rect">
                      <a:avLst/>
                    </a:prstGeom>
                  </pic:spPr>
                </pic:pic>
              </a:graphicData>
            </a:graphic>
          </wp:inline>
        </w:drawing>
      </w:r>
    </w:p>
    <w:p w14:paraId="5F8D776F" w14:textId="5D014627" w:rsidR="00AD7D3E" w:rsidRPr="0017063B" w:rsidRDefault="0017063B" w:rsidP="00AD7D3E">
      <w:pPr>
        <w:pStyle w:val="Beschriftung"/>
        <w:rPr>
          <w:i w:val="0"/>
          <w:color w:val="auto"/>
          <w:lang w:val="en-GB"/>
        </w:rPr>
      </w:pPr>
      <w:r>
        <w:rPr>
          <w:b/>
          <w:i w:val="0"/>
          <w:color w:val="auto"/>
          <w:lang w:val="en-GB"/>
        </w:rPr>
        <w:t xml:space="preserve">Fig. </w:t>
      </w:r>
      <w:r w:rsidR="00AD7D3E" w:rsidRPr="0017063B">
        <w:rPr>
          <w:b/>
          <w:i w:val="0"/>
          <w:color w:val="auto"/>
          <w:lang w:val="en-GB"/>
        </w:rPr>
        <w:t>S3</w:t>
      </w:r>
      <w:r w:rsidR="00AD7D3E" w:rsidRPr="0017063B">
        <w:rPr>
          <w:i w:val="0"/>
          <w:color w:val="auto"/>
          <w:lang w:val="en-GB"/>
        </w:rPr>
        <w:t xml:space="preserve">. Impact per kg of food for 152 foods using ReCiPe 2016 versus ReCiPe 2008. Impacts for resource depletion from three different perspectives (Individualist (I), Hierarchist (H) and Egalitarian (E). Line for best fit in blue, black line indicates the 1:1 line. </w:t>
      </w:r>
    </w:p>
    <w:p w14:paraId="16597BE8" w14:textId="77777777" w:rsidR="00AD7D3E" w:rsidRPr="0017063B" w:rsidRDefault="00AD7D3E" w:rsidP="00E95188">
      <w:pPr>
        <w:pStyle w:val="KeinLeerraum"/>
        <w:jc w:val="both"/>
        <w:rPr>
          <w:sz w:val="20"/>
          <w:szCs w:val="20"/>
          <w:lang w:val="en-GB"/>
        </w:rPr>
      </w:pPr>
    </w:p>
    <w:p w14:paraId="24E89F54" w14:textId="77777777" w:rsidR="00EE320D" w:rsidRPr="0017063B" w:rsidRDefault="00EE320D" w:rsidP="00E95188">
      <w:pPr>
        <w:pStyle w:val="KeinLeerraum"/>
        <w:jc w:val="both"/>
        <w:rPr>
          <w:sz w:val="20"/>
          <w:szCs w:val="20"/>
          <w:lang w:val="en-GB"/>
        </w:rPr>
      </w:pPr>
    </w:p>
    <w:p w14:paraId="0B3515E9" w14:textId="77777777" w:rsidR="004D61DE" w:rsidRPr="0017063B" w:rsidRDefault="004D61DE" w:rsidP="00E95188">
      <w:pPr>
        <w:pStyle w:val="KeinLeerraum"/>
        <w:jc w:val="both"/>
        <w:rPr>
          <w:sz w:val="20"/>
          <w:szCs w:val="20"/>
          <w:lang w:val="en-GB"/>
        </w:rPr>
      </w:pPr>
    </w:p>
    <w:p w14:paraId="0E964E8F" w14:textId="77777777" w:rsidR="00E8095E" w:rsidRPr="0017063B" w:rsidRDefault="003B5431" w:rsidP="00E95188">
      <w:pPr>
        <w:pStyle w:val="KeinLeerraum"/>
        <w:keepNext/>
        <w:jc w:val="both"/>
      </w:pPr>
      <w:r w:rsidRPr="0017063B">
        <w:rPr>
          <w:noProof/>
          <w:lang w:val="de-DE" w:eastAsia="de-DE"/>
        </w:rPr>
        <w:lastRenderedPageBreak/>
        <w:drawing>
          <wp:inline distT="0" distB="0" distL="0" distR="0" wp14:anchorId="39B47858" wp14:editId="5B79AD0C">
            <wp:extent cx="5760720" cy="5760720"/>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760720"/>
                    </a:xfrm>
                    <a:prstGeom prst="rect">
                      <a:avLst/>
                    </a:prstGeom>
                  </pic:spPr>
                </pic:pic>
              </a:graphicData>
            </a:graphic>
          </wp:inline>
        </w:drawing>
      </w:r>
    </w:p>
    <w:p w14:paraId="37507F4B" w14:textId="688FD749" w:rsidR="00820411" w:rsidRPr="0017063B" w:rsidRDefault="0017063B" w:rsidP="00E95188">
      <w:pPr>
        <w:pStyle w:val="Beschriftung"/>
        <w:jc w:val="both"/>
        <w:rPr>
          <w:b/>
          <w:i w:val="0"/>
          <w:color w:val="auto"/>
          <w:sz w:val="20"/>
          <w:szCs w:val="20"/>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4</w:t>
      </w:r>
      <w:r w:rsidR="00154503" w:rsidRPr="0017063B">
        <w:rPr>
          <w:b/>
          <w:i w:val="0"/>
          <w:color w:val="auto"/>
          <w:lang w:val="en-GB"/>
        </w:rPr>
        <w:t>.</w:t>
      </w:r>
      <w:r w:rsidR="00154503" w:rsidRPr="0017063B">
        <w:rPr>
          <w:i w:val="0"/>
          <w:color w:val="auto"/>
          <w:lang w:val="en-GB"/>
        </w:rPr>
        <w:t xml:space="preserve"> Average impact for each product category in ReCiPe 2008 and ReCiPe 2016, averages with standard error. </w:t>
      </w:r>
    </w:p>
    <w:p w14:paraId="263034B1" w14:textId="22D759C9" w:rsidR="00D73C63" w:rsidRPr="0017063B" w:rsidRDefault="00A07080" w:rsidP="00E95188">
      <w:pPr>
        <w:pStyle w:val="KeinLeerraum"/>
        <w:keepNext/>
        <w:jc w:val="both"/>
        <w:rPr>
          <w:rFonts w:cstheme="minorHAnsi"/>
          <w:lang w:val="en-GB"/>
        </w:rPr>
      </w:pPr>
      <w:r w:rsidRPr="0017063B">
        <w:rPr>
          <w:noProof/>
          <w:lang w:val="de-DE" w:eastAsia="de-DE"/>
        </w:rPr>
        <w:drawing>
          <wp:inline distT="0" distB="0" distL="0" distR="0" wp14:anchorId="3A9C3715" wp14:editId="47C3A322">
            <wp:extent cx="5759450" cy="2303780"/>
            <wp:effectExtent l="0" t="0" r="0" b="127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2303780"/>
                    </a:xfrm>
                    <a:prstGeom prst="rect">
                      <a:avLst/>
                    </a:prstGeom>
                  </pic:spPr>
                </pic:pic>
              </a:graphicData>
            </a:graphic>
          </wp:inline>
        </w:drawing>
      </w:r>
    </w:p>
    <w:p w14:paraId="226238FA" w14:textId="2EDBA6CB" w:rsidR="00D73C63" w:rsidRPr="0017063B" w:rsidRDefault="0017063B" w:rsidP="00E95188">
      <w:pPr>
        <w:pStyle w:val="Beschriftung"/>
        <w:jc w:val="both"/>
        <w:rPr>
          <w:rFonts w:cstheme="minorHAnsi"/>
          <w:i w:val="0"/>
          <w:color w:val="auto"/>
          <w:lang w:val="en-GB"/>
        </w:rPr>
      </w:pPr>
      <w:r>
        <w:rPr>
          <w:rFonts w:cstheme="minorHAnsi"/>
          <w:b/>
          <w:i w:val="0"/>
          <w:color w:val="auto"/>
          <w:lang w:val="en-GB"/>
        </w:rPr>
        <w:t xml:space="preserve">Fig. </w:t>
      </w:r>
      <w:r w:rsidR="00911CDC" w:rsidRPr="0017063B">
        <w:rPr>
          <w:rFonts w:cstheme="minorHAnsi"/>
          <w:b/>
          <w:i w:val="0"/>
          <w:color w:val="auto"/>
          <w:lang w:val="en-GB"/>
        </w:rPr>
        <w:t>S</w:t>
      </w:r>
      <w:r w:rsidR="00AD7D3E" w:rsidRPr="0017063B">
        <w:rPr>
          <w:rFonts w:cstheme="minorHAnsi"/>
          <w:b/>
          <w:i w:val="0"/>
          <w:color w:val="auto"/>
          <w:lang w:val="en-GB"/>
        </w:rPr>
        <w:t>5</w:t>
      </w:r>
      <w:r w:rsidR="00D73C63" w:rsidRPr="0017063B">
        <w:rPr>
          <w:rFonts w:cstheme="minorHAnsi"/>
          <w:b/>
          <w:i w:val="0"/>
          <w:color w:val="auto"/>
          <w:lang w:val="en-GB"/>
        </w:rPr>
        <w:t>.</w:t>
      </w:r>
      <w:r w:rsidR="00D73C63" w:rsidRPr="0017063B">
        <w:rPr>
          <w:rFonts w:cstheme="minorHAnsi"/>
          <w:i w:val="0"/>
          <w:color w:val="auto"/>
          <w:lang w:val="en-GB"/>
        </w:rPr>
        <w:t xml:space="preserve"> Average dietary impact per person per day in the Netherlands in ReCiPe 2008 and ReCiPe 2016 for persons aged between 7-69</w:t>
      </w:r>
      <w:r w:rsidR="00242C82" w:rsidRPr="0017063B">
        <w:rPr>
          <w:rFonts w:cstheme="minorHAnsi"/>
          <w:i w:val="0"/>
          <w:color w:val="auto"/>
          <w:lang w:val="en-GB"/>
        </w:rPr>
        <w:t xml:space="preserve"> based on selected foods</w:t>
      </w:r>
      <w:r w:rsidR="00D73C63" w:rsidRPr="0017063B">
        <w:rPr>
          <w:rFonts w:cstheme="minorHAnsi"/>
          <w:i w:val="0"/>
          <w:color w:val="auto"/>
          <w:lang w:val="en-GB"/>
        </w:rPr>
        <w:t>. Average impact split out per product category with standard error. Consumption data from Van Rossum et al (2011). All impacts are from an hierarchist perspective. n=7628</w:t>
      </w:r>
    </w:p>
    <w:p w14:paraId="2D309E05" w14:textId="31BB4E95" w:rsidR="00D73C63" w:rsidRPr="0017063B" w:rsidRDefault="00D73C63" w:rsidP="00E95188">
      <w:pPr>
        <w:pStyle w:val="KeinLeerraum"/>
        <w:jc w:val="both"/>
        <w:rPr>
          <w:rFonts w:cstheme="minorHAnsi"/>
          <w:lang w:val="en-GB"/>
        </w:rPr>
      </w:pPr>
      <w:r w:rsidRPr="0017063B">
        <w:rPr>
          <w:rFonts w:cstheme="minorHAnsi"/>
          <w:lang w:val="en-GB"/>
        </w:rPr>
        <w:lastRenderedPageBreak/>
        <w:t xml:space="preserve">Although there is no significant difference in the ranking of products on a per kg basis, there is a significant difference between the average impact of the Dutch diet </w:t>
      </w:r>
      <w:r w:rsidR="00242C82" w:rsidRPr="0017063B">
        <w:rPr>
          <w:rFonts w:cstheme="minorHAnsi"/>
          <w:lang w:val="en-GB"/>
        </w:rPr>
        <w:t xml:space="preserve">form selected foods </w:t>
      </w:r>
      <w:r w:rsidRPr="0017063B">
        <w:rPr>
          <w:rFonts w:cstheme="minorHAnsi"/>
          <w:lang w:val="en-GB"/>
        </w:rPr>
        <w:t>calculated with ReCiPe 2008 and ReCiPe 2016 (</w:t>
      </w:r>
      <w:r w:rsidR="0017063B">
        <w:rPr>
          <w:rFonts w:cstheme="minorHAnsi"/>
          <w:lang w:val="en-GB"/>
        </w:rPr>
        <w:t xml:space="preserve">Fig. </w:t>
      </w:r>
      <w:r w:rsidR="00911CDC" w:rsidRPr="0017063B">
        <w:rPr>
          <w:rFonts w:cstheme="minorHAnsi"/>
          <w:lang w:val="en-GB"/>
        </w:rPr>
        <w:t>S</w:t>
      </w:r>
      <w:r w:rsidRPr="0017063B">
        <w:rPr>
          <w:rFonts w:cstheme="minorHAnsi"/>
          <w:lang w:val="en-GB"/>
        </w:rPr>
        <w:t>3). Average impact on greenhouse gas emissions, terrestrial acidification, freshwater eutrophication, land use and water consumption are significantly different between ReCiPe 2008 and ReCiPe 2016 (p&lt;0.05). Not all product categories change equally with the update to ReCiPe 2016. The predicted daily greenhouse gas emissions from meat and dairy products differed significantly between ReCiPe 2008 and ReCiPe 2016</w:t>
      </w:r>
      <w:r w:rsidR="0059730A" w:rsidRPr="0017063B">
        <w:rPr>
          <w:rFonts w:cstheme="minorHAnsi"/>
          <w:lang w:val="en-GB"/>
        </w:rPr>
        <w:t>, with a higher impact predicted with ReCiPe 2016</w:t>
      </w:r>
      <w:r w:rsidRPr="0017063B">
        <w:rPr>
          <w:rFonts w:cstheme="minorHAnsi"/>
          <w:lang w:val="en-GB"/>
        </w:rPr>
        <w:t xml:space="preserve">. The predicted impact on acidification and eutrophication changed significantly for all product categories. Beverages, dairy and fish </w:t>
      </w:r>
      <w:r w:rsidR="0059730A" w:rsidRPr="0017063B">
        <w:rPr>
          <w:rFonts w:cstheme="minorHAnsi"/>
          <w:lang w:val="en-GB"/>
        </w:rPr>
        <w:t xml:space="preserve">were predicted </w:t>
      </w:r>
      <w:r w:rsidRPr="0017063B">
        <w:rPr>
          <w:rFonts w:cstheme="minorHAnsi"/>
          <w:lang w:val="en-GB"/>
        </w:rPr>
        <w:t xml:space="preserve">significantly </w:t>
      </w:r>
      <w:r w:rsidR="0059730A" w:rsidRPr="0017063B">
        <w:rPr>
          <w:rFonts w:cstheme="minorHAnsi"/>
          <w:lang w:val="en-GB"/>
        </w:rPr>
        <w:t>lower</w:t>
      </w:r>
      <w:r w:rsidRPr="0017063B">
        <w:rPr>
          <w:rFonts w:cstheme="minorHAnsi"/>
          <w:lang w:val="en-GB"/>
        </w:rPr>
        <w:t xml:space="preserve"> for land use</w:t>
      </w:r>
      <w:r w:rsidR="0059730A" w:rsidRPr="0017063B">
        <w:rPr>
          <w:rFonts w:cstheme="minorHAnsi"/>
          <w:lang w:val="en-GB"/>
        </w:rPr>
        <w:t xml:space="preserve"> with ReCiPe 2016</w:t>
      </w:r>
      <w:r w:rsidRPr="0017063B">
        <w:rPr>
          <w:rFonts w:cstheme="minorHAnsi"/>
          <w:lang w:val="en-GB"/>
        </w:rPr>
        <w:t xml:space="preserve">. Beverages is the only </w:t>
      </w:r>
      <w:r w:rsidR="00242C82" w:rsidRPr="0017063B">
        <w:rPr>
          <w:rFonts w:cstheme="minorHAnsi"/>
          <w:lang w:val="en-GB"/>
        </w:rPr>
        <w:t xml:space="preserve">food </w:t>
      </w:r>
      <w:r w:rsidRPr="0017063B">
        <w:rPr>
          <w:rFonts w:cstheme="minorHAnsi"/>
          <w:lang w:val="en-GB"/>
        </w:rPr>
        <w:t xml:space="preserve">category that changes significantly between ReCiPe 2008 and 2016 for water use. </w:t>
      </w:r>
    </w:p>
    <w:p w14:paraId="3D2AFF6E" w14:textId="77777777" w:rsidR="00D73C63" w:rsidRPr="0017063B" w:rsidRDefault="00D73C63" w:rsidP="00E95188">
      <w:pPr>
        <w:pStyle w:val="KeinLeerraum"/>
        <w:jc w:val="both"/>
        <w:rPr>
          <w:lang w:val="en-GB"/>
        </w:rPr>
      </w:pPr>
    </w:p>
    <w:p w14:paraId="56DB121B" w14:textId="34EEE28B" w:rsidR="00242C82" w:rsidRPr="0017063B" w:rsidRDefault="000971FF" w:rsidP="0059730A">
      <w:pPr>
        <w:pStyle w:val="KeinLeerraum"/>
        <w:jc w:val="both"/>
        <w:rPr>
          <w:lang w:val="en-GB"/>
        </w:rPr>
      </w:pPr>
      <w:r w:rsidRPr="0017063B">
        <w:rPr>
          <w:lang w:val="en-GB"/>
        </w:rPr>
        <w:t xml:space="preserve">Within product categories there are few change in ranking of products </w:t>
      </w:r>
      <w:r w:rsidR="00040F65" w:rsidRPr="0017063B">
        <w:rPr>
          <w:lang w:val="en-GB"/>
        </w:rPr>
        <w:t>on endpoint level (</w:t>
      </w:r>
      <w:r w:rsidR="0017063B">
        <w:rPr>
          <w:lang w:val="en-GB"/>
        </w:rPr>
        <w:t xml:space="preserve">Fig. </w:t>
      </w:r>
      <w:r w:rsidR="00911CDC" w:rsidRPr="0017063B">
        <w:rPr>
          <w:lang w:val="en-GB"/>
        </w:rPr>
        <w:t>S</w:t>
      </w:r>
      <w:r w:rsidR="00040F65" w:rsidRPr="0017063B">
        <w:rPr>
          <w:lang w:val="en-GB"/>
        </w:rPr>
        <w:t xml:space="preserve">4a: </w:t>
      </w:r>
      <w:r w:rsidR="00911CDC" w:rsidRPr="0017063B">
        <w:rPr>
          <w:lang w:val="en-GB"/>
        </w:rPr>
        <w:t>S</w:t>
      </w:r>
      <w:r w:rsidR="00040F65" w:rsidRPr="0017063B">
        <w:rPr>
          <w:lang w:val="en-GB"/>
        </w:rPr>
        <w:t>9b</w:t>
      </w:r>
      <w:r w:rsidRPr="0017063B">
        <w:rPr>
          <w:lang w:val="en-GB"/>
        </w:rPr>
        <w:t xml:space="preserve">). </w:t>
      </w:r>
      <w:r w:rsidR="0099388D" w:rsidRPr="0017063B">
        <w:rPr>
          <w:lang w:val="en-GB"/>
        </w:rPr>
        <w:t xml:space="preserve">None of the changes in ranking causes a significant difference in ranking within the product category. </w:t>
      </w:r>
      <w:r w:rsidRPr="0017063B">
        <w:rPr>
          <w:lang w:val="en-GB"/>
        </w:rPr>
        <w:t xml:space="preserve">There is however a change in the composition of the endpoint impact. </w:t>
      </w:r>
      <w:r w:rsidR="0099388D" w:rsidRPr="0017063B">
        <w:rPr>
          <w:lang w:val="en-GB"/>
        </w:rPr>
        <w:t>Changes of composition are discussed in the main text.</w:t>
      </w:r>
    </w:p>
    <w:p w14:paraId="2D528946" w14:textId="77777777" w:rsidR="00E67B07" w:rsidRPr="0017063B" w:rsidRDefault="00E67B07" w:rsidP="00E95188">
      <w:pPr>
        <w:pStyle w:val="KeinLeerraum"/>
        <w:jc w:val="both"/>
        <w:rPr>
          <w:lang w:val="en-GB"/>
        </w:rPr>
      </w:pPr>
      <w:r w:rsidRPr="0017063B">
        <w:rPr>
          <w:lang w:val="en-GB"/>
        </w:rPr>
        <w:br w:type="page"/>
      </w:r>
    </w:p>
    <w:p w14:paraId="526918BF" w14:textId="77777777" w:rsidR="00AD662B" w:rsidRPr="0017063B" w:rsidRDefault="00AD662B" w:rsidP="00E95188">
      <w:pPr>
        <w:pStyle w:val="KeinLeerraum"/>
        <w:jc w:val="both"/>
        <w:sectPr w:rsidR="00AD662B" w:rsidRPr="0017063B" w:rsidSect="0099388D">
          <w:pgSz w:w="11906" w:h="16838"/>
          <w:pgMar w:top="1418" w:right="1418" w:bottom="1418" w:left="1418" w:header="709" w:footer="709" w:gutter="0"/>
          <w:cols w:space="708"/>
          <w:docGrid w:linePitch="360"/>
        </w:sectPr>
      </w:pPr>
    </w:p>
    <w:p w14:paraId="24E73AD2" w14:textId="1DAD0D1E" w:rsidR="00F31FFB" w:rsidRPr="0017063B" w:rsidRDefault="00251C8C" w:rsidP="00E95188">
      <w:pPr>
        <w:pStyle w:val="KeinLeerraum"/>
        <w:jc w:val="both"/>
      </w:pPr>
      <w:r w:rsidRPr="0017063B">
        <w:rPr>
          <w:noProof/>
          <w:lang w:val="de-DE" w:eastAsia="de-DE"/>
        </w:rPr>
        <w:lastRenderedPageBreak/>
        <w:drawing>
          <wp:inline distT="0" distB="0" distL="0" distR="0" wp14:anchorId="52B406DA" wp14:editId="6ACFDE35">
            <wp:extent cx="8891270" cy="5554039"/>
            <wp:effectExtent l="0" t="0" r="5080" b="889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91270" cy="5554039"/>
                    </a:xfrm>
                    <a:prstGeom prst="rect">
                      <a:avLst/>
                    </a:prstGeom>
                    <a:noFill/>
                    <a:ln>
                      <a:noFill/>
                    </a:ln>
                  </pic:spPr>
                </pic:pic>
              </a:graphicData>
            </a:graphic>
          </wp:inline>
        </w:drawing>
      </w:r>
    </w:p>
    <w:p w14:paraId="55C83F30" w14:textId="011D56B6" w:rsidR="00AD662B" w:rsidRPr="0017063B" w:rsidRDefault="0017063B" w:rsidP="00E95188">
      <w:pPr>
        <w:pStyle w:val="KeinLeerraum"/>
        <w:jc w:val="both"/>
        <w:rPr>
          <w:sz w:val="20"/>
          <w:szCs w:val="20"/>
          <w:lang w:val="en-GB"/>
        </w:rPr>
      </w:pPr>
      <w:r>
        <w:rPr>
          <w:b/>
          <w:sz w:val="20"/>
          <w:szCs w:val="20"/>
          <w:lang w:val="en-GB"/>
        </w:rPr>
        <w:t xml:space="preserve">Fig. </w:t>
      </w:r>
      <w:r w:rsidR="00AD7D3E" w:rsidRPr="0017063B">
        <w:rPr>
          <w:b/>
          <w:sz w:val="20"/>
          <w:szCs w:val="20"/>
          <w:lang w:val="en-GB"/>
        </w:rPr>
        <w:t>S6</w:t>
      </w:r>
      <w:r w:rsidR="00CE48E1" w:rsidRPr="0017063B">
        <w:rPr>
          <w:b/>
          <w:sz w:val="20"/>
          <w:szCs w:val="20"/>
          <w:lang w:val="en-GB"/>
        </w:rPr>
        <w:t>a</w:t>
      </w:r>
      <w:r w:rsidR="00F31FFB" w:rsidRPr="0017063B">
        <w:rPr>
          <w:b/>
          <w:sz w:val="20"/>
          <w:szCs w:val="20"/>
          <w:lang w:val="en-GB"/>
        </w:rPr>
        <w:t>.</w:t>
      </w:r>
      <w:r w:rsidR="00F31FFB" w:rsidRPr="0017063B">
        <w:rPr>
          <w:sz w:val="20"/>
          <w:szCs w:val="20"/>
          <w:lang w:val="en-GB"/>
        </w:rPr>
        <w:t xml:space="preserve"> The impact of food products</w:t>
      </w:r>
      <w:r w:rsidR="00146BB7" w:rsidRPr="0017063B">
        <w:rPr>
          <w:sz w:val="20"/>
          <w:szCs w:val="20"/>
          <w:lang w:val="en-GB"/>
        </w:rPr>
        <w:t xml:space="preserve"> on human health</w:t>
      </w:r>
      <w:r w:rsidR="00F31FFB" w:rsidRPr="0017063B">
        <w:rPr>
          <w:sz w:val="20"/>
          <w:szCs w:val="20"/>
          <w:lang w:val="en-GB"/>
        </w:rPr>
        <w:t xml:space="preserve"> from an </w:t>
      </w:r>
      <w:r w:rsidR="00CE48E1" w:rsidRPr="0017063B">
        <w:rPr>
          <w:sz w:val="20"/>
          <w:szCs w:val="20"/>
          <w:lang w:val="en-GB"/>
        </w:rPr>
        <w:t>Individualist</w:t>
      </w:r>
      <w:r w:rsidR="00F31FFB" w:rsidRPr="0017063B">
        <w:rPr>
          <w:sz w:val="20"/>
          <w:szCs w:val="20"/>
          <w:lang w:val="en-GB"/>
        </w:rPr>
        <w:t xml:space="preserve"> perspective</w:t>
      </w:r>
    </w:p>
    <w:p w14:paraId="7E2CF76A" w14:textId="77777777" w:rsidR="00CE48E1" w:rsidRPr="0017063B" w:rsidRDefault="00AD662B" w:rsidP="00E95188">
      <w:pPr>
        <w:pStyle w:val="KeinLeerraum"/>
        <w:keepNext/>
        <w:jc w:val="both"/>
      </w:pPr>
      <w:r w:rsidRPr="0017063B">
        <w:rPr>
          <w:noProof/>
          <w:lang w:val="de-DE" w:eastAsia="de-DE"/>
        </w:rPr>
        <w:lastRenderedPageBreak/>
        <w:drawing>
          <wp:inline distT="0" distB="0" distL="0" distR="0" wp14:anchorId="5567F99B" wp14:editId="0A720BB2">
            <wp:extent cx="8892540" cy="5557837"/>
            <wp:effectExtent l="0" t="0" r="3810" b="508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k\AppData\Local\Microsoft\Windows\INetCache\Content.Word\HumanhealthcatI2.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8892540" cy="5557837"/>
                    </a:xfrm>
                    <a:prstGeom prst="rect">
                      <a:avLst/>
                    </a:prstGeom>
                    <a:noFill/>
                    <a:ln>
                      <a:noFill/>
                    </a:ln>
                  </pic:spPr>
                </pic:pic>
              </a:graphicData>
            </a:graphic>
          </wp:inline>
        </w:drawing>
      </w:r>
    </w:p>
    <w:p w14:paraId="1E1C9BB0" w14:textId="192E5F04"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6</w:t>
      </w:r>
      <w:r w:rsidR="00CE48E1" w:rsidRPr="0017063B">
        <w:rPr>
          <w:b/>
          <w:i w:val="0"/>
          <w:color w:val="auto"/>
          <w:lang w:val="en-GB"/>
        </w:rPr>
        <w:t>b</w:t>
      </w:r>
      <w:r w:rsidR="00CE48E1" w:rsidRPr="0017063B">
        <w:rPr>
          <w:i w:val="0"/>
          <w:color w:val="auto"/>
          <w:lang w:val="en-GB"/>
        </w:rPr>
        <w:t>. The impact of food products</w:t>
      </w:r>
      <w:r w:rsidR="00146BB7" w:rsidRPr="0017063B">
        <w:rPr>
          <w:i w:val="0"/>
          <w:color w:val="auto"/>
          <w:lang w:val="en-GB"/>
        </w:rPr>
        <w:t xml:space="preserve"> on human health</w:t>
      </w:r>
      <w:r w:rsidR="00CE48E1" w:rsidRPr="0017063B">
        <w:rPr>
          <w:i w:val="0"/>
          <w:color w:val="auto"/>
          <w:lang w:val="en-GB"/>
        </w:rPr>
        <w:t xml:space="preserve"> from an Individualist perspective</w:t>
      </w:r>
    </w:p>
    <w:p w14:paraId="4A8D8448" w14:textId="2C16F0B7" w:rsidR="00CE48E1" w:rsidRPr="0017063B" w:rsidRDefault="00251C8C" w:rsidP="00E95188">
      <w:pPr>
        <w:pStyle w:val="KeinLeerraum"/>
        <w:keepNext/>
        <w:jc w:val="both"/>
      </w:pPr>
      <w:r w:rsidRPr="0017063B">
        <w:rPr>
          <w:noProof/>
          <w:lang w:val="de-DE" w:eastAsia="de-DE"/>
        </w:rPr>
        <w:lastRenderedPageBreak/>
        <w:drawing>
          <wp:inline distT="0" distB="0" distL="0" distR="0" wp14:anchorId="3AB0F20A" wp14:editId="7B814D69">
            <wp:extent cx="8891270" cy="5554039"/>
            <wp:effectExtent l="0" t="0" r="5080" b="889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91270" cy="5554039"/>
                    </a:xfrm>
                    <a:prstGeom prst="rect">
                      <a:avLst/>
                    </a:prstGeom>
                    <a:noFill/>
                    <a:ln>
                      <a:noFill/>
                    </a:ln>
                  </pic:spPr>
                </pic:pic>
              </a:graphicData>
            </a:graphic>
          </wp:inline>
        </w:drawing>
      </w:r>
    </w:p>
    <w:p w14:paraId="321893BA" w14:textId="4DDDEC58"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7</w:t>
      </w:r>
      <w:r w:rsidR="00CE48E1" w:rsidRPr="0017063B">
        <w:rPr>
          <w:b/>
          <w:i w:val="0"/>
          <w:color w:val="auto"/>
          <w:lang w:val="en-GB"/>
        </w:rPr>
        <w:t>a.</w:t>
      </w:r>
      <w:r w:rsidR="00CE48E1" w:rsidRPr="0017063B">
        <w:rPr>
          <w:i w:val="0"/>
          <w:color w:val="auto"/>
          <w:lang w:val="en-GB"/>
        </w:rPr>
        <w:t xml:space="preserve"> The impact of food products</w:t>
      </w:r>
      <w:r w:rsidR="0022132A" w:rsidRPr="0017063B">
        <w:rPr>
          <w:i w:val="0"/>
          <w:color w:val="auto"/>
          <w:lang w:val="en-GB"/>
        </w:rPr>
        <w:t xml:space="preserve"> on human health</w:t>
      </w:r>
      <w:r w:rsidR="00CE48E1" w:rsidRPr="0017063B">
        <w:rPr>
          <w:i w:val="0"/>
          <w:color w:val="auto"/>
          <w:lang w:val="en-GB"/>
        </w:rPr>
        <w:t xml:space="preserve"> from </w:t>
      </w:r>
      <w:r w:rsidR="00146BB7" w:rsidRPr="0017063B">
        <w:rPr>
          <w:i w:val="0"/>
          <w:color w:val="auto"/>
          <w:lang w:val="en-GB"/>
        </w:rPr>
        <w:t>a</w:t>
      </w:r>
      <w:r w:rsidR="00CE48E1" w:rsidRPr="0017063B">
        <w:rPr>
          <w:i w:val="0"/>
          <w:color w:val="auto"/>
          <w:lang w:val="en-GB"/>
        </w:rPr>
        <w:t xml:space="preserve"> Hierarchist perspective</w:t>
      </w:r>
    </w:p>
    <w:p w14:paraId="73E80AAD" w14:textId="77777777" w:rsidR="00CE48E1" w:rsidRPr="0017063B" w:rsidRDefault="00AD662B" w:rsidP="00E95188">
      <w:pPr>
        <w:pStyle w:val="KeinLeerraum"/>
        <w:keepNext/>
        <w:jc w:val="both"/>
      </w:pPr>
      <w:r w:rsidRPr="0017063B">
        <w:rPr>
          <w:noProof/>
          <w:lang w:val="de-DE" w:eastAsia="de-DE"/>
        </w:rPr>
        <w:lastRenderedPageBreak/>
        <w:drawing>
          <wp:inline distT="0" distB="0" distL="0" distR="0" wp14:anchorId="79840E22" wp14:editId="79DD9163">
            <wp:extent cx="8892540" cy="5557837"/>
            <wp:effectExtent l="0" t="0" r="3810" b="508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k\AppData\Local\Microsoft\Windows\INetCache\Content.Word\HumanhealthcatH2.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8892540" cy="5557837"/>
                    </a:xfrm>
                    <a:prstGeom prst="rect">
                      <a:avLst/>
                    </a:prstGeom>
                    <a:noFill/>
                    <a:ln>
                      <a:noFill/>
                    </a:ln>
                  </pic:spPr>
                </pic:pic>
              </a:graphicData>
            </a:graphic>
          </wp:inline>
        </w:drawing>
      </w:r>
    </w:p>
    <w:p w14:paraId="27EE9353" w14:textId="5FF881CB"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7</w:t>
      </w:r>
      <w:r w:rsidR="00CE48E1" w:rsidRPr="0017063B">
        <w:rPr>
          <w:b/>
          <w:i w:val="0"/>
          <w:color w:val="auto"/>
          <w:lang w:val="en-GB"/>
        </w:rPr>
        <w:t>b.</w:t>
      </w:r>
      <w:r w:rsidR="00CE48E1" w:rsidRPr="0017063B">
        <w:rPr>
          <w:i w:val="0"/>
          <w:color w:val="auto"/>
          <w:lang w:val="en-GB"/>
        </w:rPr>
        <w:t xml:space="preserve"> The impact of food products</w:t>
      </w:r>
      <w:r w:rsidR="00146BB7" w:rsidRPr="0017063B">
        <w:rPr>
          <w:i w:val="0"/>
          <w:color w:val="auto"/>
          <w:lang w:val="en-GB"/>
        </w:rPr>
        <w:t xml:space="preserve"> on human health</w:t>
      </w:r>
      <w:r w:rsidR="00CE48E1" w:rsidRPr="0017063B">
        <w:rPr>
          <w:i w:val="0"/>
          <w:color w:val="auto"/>
          <w:lang w:val="en-GB"/>
        </w:rPr>
        <w:t xml:space="preserve"> from a Hierarchist perspective</w:t>
      </w:r>
    </w:p>
    <w:p w14:paraId="06969007" w14:textId="6FBE7393" w:rsidR="00146BB7" w:rsidRPr="0017063B" w:rsidRDefault="00251C8C" w:rsidP="00E95188">
      <w:pPr>
        <w:pStyle w:val="KeinLeerraum"/>
        <w:keepNext/>
        <w:jc w:val="both"/>
      </w:pPr>
      <w:r w:rsidRPr="0017063B">
        <w:rPr>
          <w:noProof/>
          <w:lang w:val="de-DE" w:eastAsia="de-DE"/>
        </w:rPr>
        <w:lastRenderedPageBreak/>
        <w:drawing>
          <wp:inline distT="0" distB="0" distL="0" distR="0" wp14:anchorId="5E88A405" wp14:editId="59FE688E">
            <wp:extent cx="8891270" cy="5554039"/>
            <wp:effectExtent l="0" t="0" r="5080" b="889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91270" cy="5554039"/>
                    </a:xfrm>
                    <a:prstGeom prst="rect">
                      <a:avLst/>
                    </a:prstGeom>
                    <a:noFill/>
                    <a:ln>
                      <a:noFill/>
                    </a:ln>
                  </pic:spPr>
                </pic:pic>
              </a:graphicData>
            </a:graphic>
          </wp:inline>
        </w:drawing>
      </w:r>
    </w:p>
    <w:p w14:paraId="59200AD9" w14:textId="761A8A2C"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8</w:t>
      </w:r>
      <w:r w:rsidR="00146BB7" w:rsidRPr="0017063B">
        <w:rPr>
          <w:b/>
          <w:i w:val="0"/>
          <w:color w:val="auto"/>
          <w:lang w:val="en-GB"/>
        </w:rPr>
        <w:t>a.</w:t>
      </w:r>
      <w:r w:rsidR="00146BB7" w:rsidRPr="0017063B">
        <w:rPr>
          <w:i w:val="0"/>
          <w:color w:val="auto"/>
          <w:lang w:val="en-GB"/>
        </w:rPr>
        <w:t xml:space="preserve"> The impact of food products on human health from an Egalitarian perspective</w:t>
      </w:r>
    </w:p>
    <w:p w14:paraId="3D4D0A6A" w14:textId="77777777" w:rsidR="00146BB7" w:rsidRPr="0017063B" w:rsidRDefault="00AD662B" w:rsidP="00E95188">
      <w:pPr>
        <w:pStyle w:val="KeinLeerraum"/>
        <w:keepNext/>
        <w:jc w:val="both"/>
      </w:pPr>
      <w:r w:rsidRPr="0017063B">
        <w:rPr>
          <w:noProof/>
          <w:lang w:val="de-DE" w:eastAsia="de-DE"/>
        </w:rPr>
        <w:lastRenderedPageBreak/>
        <w:drawing>
          <wp:inline distT="0" distB="0" distL="0" distR="0" wp14:anchorId="23259F0D" wp14:editId="76A5B31B">
            <wp:extent cx="8892540" cy="5557837"/>
            <wp:effectExtent l="0" t="0" r="3810" b="508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rik\AppData\Local\Microsoft\Windows\INetCache\Content.Word\HumanhealthcatE2.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8892540" cy="5557837"/>
                    </a:xfrm>
                    <a:prstGeom prst="rect">
                      <a:avLst/>
                    </a:prstGeom>
                    <a:noFill/>
                    <a:ln>
                      <a:noFill/>
                    </a:ln>
                  </pic:spPr>
                </pic:pic>
              </a:graphicData>
            </a:graphic>
          </wp:inline>
        </w:drawing>
      </w:r>
    </w:p>
    <w:p w14:paraId="4F954758" w14:textId="1E8F6265"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8</w:t>
      </w:r>
      <w:r w:rsidR="00146BB7" w:rsidRPr="0017063B">
        <w:rPr>
          <w:b/>
          <w:i w:val="0"/>
          <w:color w:val="auto"/>
          <w:lang w:val="en-GB"/>
        </w:rPr>
        <w:t>b.</w:t>
      </w:r>
      <w:r w:rsidR="00146BB7" w:rsidRPr="0017063B">
        <w:rPr>
          <w:i w:val="0"/>
          <w:color w:val="auto"/>
          <w:lang w:val="en-GB"/>
        </w:rPr>
        <w:t xml:space="preserve"> The impact of food products on human health from an Egalitarian perspective</w:t>
      </w:r>
    </w:p>
    <w:p w14:paraId="2CDED5B5" w14:textId="032EE739" w:rsidR="00146BB7" w:rsidRPr="0017063B" w:rsidRDefault="004E18D6" w:rsidP="00E95188">
      <w:pPr>
        <w:pStyle w:val="KeinLeerraum"/>
        <w:keepNext/>
        <w:jc w:val="both"/>
      </w:pPr>
      <w:r w:rsidRPr="0017063B">
        <w:rPr>
          <w:noProof/>
          <w:lang w:val="de-DE" w:eastAsia="de-DE"/>
        </w:rPr>
        <w:lastRenderedPageBreak/>
        <w:drawing>
          <wp:inline distT="0" distB="0" distL="0" distR="0" wp14:anchorId="1A7ABC1B" wp14:editId="76CF7D0A">
            <wp:extent cx="8891270" cy="5554039"/>
            <wp:effectExtent l="0" t="0" r="5080" b="889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91270" cy="5554039"/>
                    </a:xfrm>
                    <a:prstGeom prst="rect">
                      <a:avLst/>
                    </a:prstGeom>
                    <a:noFill/>
                    <a:ln>
                      <a:noFill/>
                    </a:ln>
                  </pic:spPr>
                </pic:pic>
              </a:graphicData>
            </a:graphic>
          </wp:inline>
        </w:drawing>
      </w:r>
    </w:p>
    <w:p w14:paraId="7BB95951" w14:textId="12BBBB6D"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9</w:t>
      </w:r>
      <w:r w:rsidR="00146BB7" w:rsidRPr="0017063B">
        <w:rPr>
          <w:b/>
          <w:i w:val="0"/>
          <w:color w:val="auto"/>
          <w:lang w:val="en-GB"/>
        </w:rPr>
        <w:t>a.</w:t>
      </w:r>
      <w:r w:rsidR="00146BB7" w:rsidRPr="0017063B">
        <w:rPr>
          <w:i w:val="0"/>
          <w:color w:val="auto"/>
          <w:lang w:val="en-GB"/>
        </w:rPr>
        <w:t xml:space="preserve"> The impact of food products on ecosystems from an Individualist perspective</w:t>
      </w:r>
    </w:p>
    <w:p w14:paraId="10A46D18" w14:textId="77777777" w:rsidR="00146BB7" w:rsidRPr="0017063B" w:rsidRDefault="00AD662B" w:rsidP="00E95188">
      <w:pPr>
        <w:pStyle w:val="KeinLeerraum"/>
        <w:keepNext/>
        <w:jc w:val="both"/>
      </w:pPr>
      <w:r w:rsidRPr="0017063B">
        <w:rPr>
          <w:noProof/>
          <w:lang w:val="de-DE" w:eastAsia="de-DE"/>
        </w:rPr>
        <w:lastRenderedPageBreak/>
        <w:drawing>
          <wp:inline distT="0" distB="0" distL="0" distR="0" wp14:anchorId="08C952D1" wp14:editId="3DED1C01">
            <wp:extent cx="8892540" cy="5557837"/>
            <wp:effectExtent l="0" t="0" r="3810" b="508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rik\AppData\Local\Microsoft\Windows\INetCache\Content.Word\EcolcatI2.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8892540" cy="5557837"/>
                    </a:xfrm>
                    <a:prstGeom prst="rect">
                      <a:avLst/>
                    </a:prstGeom>
                    <a:noFill/>
                    <a:ln>
                      <a:noFill/>
                    </a:ln>
                  </pic:spPr>
                </pic:pic>
              </a:graphicData>
            </a:graphic>
          </wp:inline>
        </w:drawing>
      </w:r>
    </w:p>
    <w:p w14:paraId="0EF9DE28" w14:textId="1AC51BC7"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9</w:t>
      </w:r>
      <w:r w:rsidR="00146BB7" w:rsidRPr="0017063B">
        <w:rPr>
          <w:b/>
          <w:i w:val="0"/>
          <w:color w:val="auto"/>
          <w:lang w:val="en-GB"/>
        </w:rPr>
        <w:t>b.</w:t>
      </w:r>
      <w:r w:rsidR="00146BB7" w:rsidRPr="0017063B">
        <w:rPr>
          <w:i w:val="0"/>
          <w:color w:val="auto"/>
          <w:lang w:val="en-GB"/>
        </w:rPr>
        <w:t xml:space="preserve"> The impact of food products on ecosystems from an Individualist perspective</w:t>
      </w:r>
    </w:p>
    <w:p w14:paraId="22CC4CFF" w14:textId="5B82F612" w:rsidR="00146BB7" w:rsidRPr="0017063B" w:rsidRDefault="00540E70" w:rsidP="00E95188">
      <w:pPr>
        <w:pStyle w:val="KeinLeerraum"/>
        <w:keepNext/>
        <w:jc w:val="both"/>
      </w:pPr>
      <w:r w:rsidRPr="0017063B">
        <w:rPr>
          <w:noProof/>
          <w:lang w:val="de-DE" w:eastAsia="de-DE"/>
        </w:rPr>
        <w:lastRenderedPageBreak/>
        <w:drawing>
          <wp:inline distT="0" distB="0" distL="0" distR="0" wp14:anchorId="10A85387" wp14:editId="5D171D43">
            <wp:extent cx="8891270" cy="5554039"/>
            <wp:effectExtent l="0" t="0" r="5080" b="889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91270" cy="5554039"/>
                    </a:xfrm>
                    <a:prstGeom prst="rect">
                      <a:avLst/>
                    </a:prstGeom>
                    <a:noFill/>
                    <a:ln>
                      <a:noFill/>
                    </a:ln>
                  </pic:spPr>
                </pic:pic>
              </a:graphicData>
            </a:graphic>
          </wp:inline>
        </w:drawing>
      </w:r>
    </w:p>
    <w:p w14:paraId="12B2896A" w14:textId="7C6CE8CC"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10</w:t>
      </w:r>
      <w:r w:rsidR="00146BB7" w:rsidRPr="0017063B">
        <w:rPr>
          <w:b/>
          <w:i w:val="0"/>
          <w:color w:val="auto"/>
          <w:lang w:val="en-GB"/>
        </w:rPr>
        <w:t>a.</w:t>
      </w:r>
      <w:r w:rsidR="00146BB7" w:rsidRPr="0017063B">
        <w:rPr>
          <w:i w:val="0"/>
          <w:color w:val="auto"/>
          <w:lang w:val="en-GB"/>
        </w:rPr>
        <w:t xml:space="preserve"> The impact of food products on ecosystems from a Hierarchist perspective</w:t>
      </w:r>
    </w:p>
    <w:p w14:paraId="664E5284" w14:textId="77777777" w:rsidR="00146BB7" w:rsidRPr="0017063B" w:rsidRDefault="00AD662B" w:rsidP="00E95188">
      <w:pPr>
        <w:pStyle w:val="KeinLeerraum"/>
        <w:keepNext/>
        <w:jc w:val="both"/>
      </w:pPr>
      <w:r w:rsidRPr="0017063B">
        <w:rPr>
          <w:noProof/>
          <w:lang w:val="de-DE" w:eastAsia="de-DE"/>
        </w:rPr>
        <w:lastRenderedPageBreak/>
        <w:drawing>
          <wp:inline distT="0" distB="0" distL="0" distR="0" wp14:anchorId="177BE2A4" wp14:editId="4FB31059">
            <wp:extent cx="8892540" cy="5557837"/>
            <wp:effectExtent l="0" t="0" r="3810" b="508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rik\AppData\Local\Microsoft\Windows\INetCache\Content.Word\EcolcatH2.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8892540" cy="5557837"/>
                    </a:xfrm>
                    <a:prstGeom prst="rect">
                      <a:avLst/>
                    </a:prstGeom>
                    <a:noFill/>
                    <a:ln>
                      <a:noFill/>
                    </a:ln>
                  </pic:spPr>
                </pic:pic>
              </a:graphicData>
            </a:graphic>
          </wp:inline>
        </w:drawing>
      </w:r>
    </w:p>
    <w:p w14:paraId="65C075D5" w14:textId="22ECFA9B"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10</w:t>
      </w:r>
      <w:r w:rsidR="00146BB7" w:rsidRPr="0017063B">
        <w:rPr>
          <w:b/>
          <w:i w:val="0"/>
          <w:color w:val="auto"/>
          <w:lang w:val="en-GB"/>
        </w:rPr>
        <w:t>b</w:t>
      </w:r>
      <w:r w:rsidR="00146BB7" w:rsidRPr="0017063B">
        <w:rPr>
          <w:i w:val="0"/>
          <w:color w:val="auto"/>
          <w:lang w:val="en-GB"/>
        </w:rPr>
        <w:t>. The impact of food products on ecosystems from a Hierarchist perspective</w:t>
      </w:r>
    </w:p>
    <w:p w14:paraId="23754B17" w14:textId="5F216288" w:rsidR="00146BB7" w:rsidRPr="0017063B" w:rsidRDefault="00540E70" w:rsidP="00E95188">
      <w:pPr>
        <w:pStyle w:val="KeinLeerraum"/>
        <w:keepNext/>
        <w:jc w:val="both"/>
      </w:pPr>
      <w:r w:rsidRPr="0017063B">
        <w:rPr>
          <w:noProof/>
          <w:lang w:val="de-DE" w:eastAsia="de-DE"/>
        </w:rPr>
        <w:lastRenderedPageBreak/>
        <w:drawing>
          <wp:inline distT="0" distB="0" distL="0" distR="0" wp14:anchorId="627EB7FC" wp14:editId="25C5A865">
            <wp:extent cx="8891270" cy="5554039"/>
            <wp:effectExtent l="0" t="0" r="5080" b="889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91270" cy="5554039"/>
                    </a:xfrm>
                    <a:prstGeom prst="rect">
                      <a:avLst/>
                    </a:prstGeom>
                    <a:noFill/>
                    <a:ln>
                      <a:noFill/>
                    </a:ln>
                  </pic:spPr>
                </pic:pic>
              </a:graphicData>
            </a:graphic>
          </wp:inline>
        </w:drawing>
      </w:r>
    </w:p>
    <w:p w14:paraId="65CE7B9C" w14:textId="331F52A8"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11</w:t>
      </w:r>
      <w:r w:rsidR="00146BB7" w:rsidRPr="0017063B">
        <w:rPr>
          <w:b/>
          <w:i w:val="0"/>
          <w:color w:val="auto"/>
          <w:lang w:val="en-GB"/>
        </w:rPr>
        <w:t>a.</w:t>
      </w:r>
      <w:r w:rsidR="00146BB7" w:rsidRPr="0017063B">
        <w:rPr>
          <w:i w:val="0"/>
          <w:color w:val="auto"/>
          <w:lang w:val="en-GB"/>
        </w:rPr>
        <w:t xml:space="preserve"> The impact of food products on ecosystems from an Egalitarian perspective</w:t>
      </w:r>
    </w:p>
    <w:p w14:paraId="3D68E9BC" w14:textId="77777777" w:rsidR="00146BB7" w:rsidRPr="0017063B" w:rsidRDefault="00AD662B" w:rsidP="00E95188">
      <w:pPr>
        <w:pStyle w:val="KeinLeerraum"/>
        <w:keepNext/>
        <w:jc w:val="both"/>
      </w:pPr>
      <w:r w:rsidRPr="0017063B">
        <w:rPr>
          <w:noProof/>
          <w:lang w:val="de-DE" w:eastAsia="de-DE"/>
        </w:rPr>
        <w:lastRenderedPageBreak/>
        <w:drawing>
          <wp:inline distT="0" distB="0" distL="0" distR="0" wp14:anchorId="3120BB16" wp14:editId="3F5BFCE2">
            <wp:extent cx="8892540" cy="5557837"/>
            <wp:effectExtent l="0" t="0" r="3810" b="508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Erik\AppData\Local\Microsoft\Windows\INetCache\Content.Word\EcolcatE2.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8892540" cy="5557837"/>
                    </a:xfrm>
                    <a:prstGeom prst="rect">
                      <a:avLst/>
                    </a:prstGeom>
                    <a:noFill/>
                    <a:ln>
                      <a:noFill/>
                    </a:ln>
                  </pic:spPr>
                </pic:pic>
              </a:graphicData>
            </a:graphic>
          </wp:inline>
        </w:drawing>
      </w:r>
    </w:p>
    <w:p w14:paraId="7CDBB7DF" w14:textId="0EC743E5" w:rsidR="00AD662B"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AD7D3E" w:rsidRPr="0017063B">
        <w:rPr>
          <w:b/>
          <w:i w:val="0"/>
          <w:color w:val="auto"/>
          <w:lang w:val="en-GB"/>
        </w:rPr>
        <w:t>11</w:t>
      </w:r>
      <w:r w:rsidR="00146BB7" w:rsidRPr="0017063B">
        <w:rPr>
          <w:b/>
          <w:i w:val="0"/>
          <w:color w:val="auto"/>
          <w:lang w:val="en-GB"/>
        </w:rPr>
        <w:t>b.</w:t>
      </w:r>
      <w:r w:rsidR="00146BB7" w:rsidRPr="0017063B">
        <w:rPr>
          <w:i w:val="0"/>
          <w:color w:val="auto"/>
          <w:lang w:val="en-GB"/>
        </w:rPr>
        <w:t xml:space="preserve"> The impact of food products on ecosystems from an Egalitarian perspective</w:t>
      </w:r>
    </w:p>
    <w:p w14:paraId="1429D967" w14:textId="77777777" w:rsidR="00AD662B" w:rsidRPr="0017063B" w:rsidRDefault="00AD662B" w:rsidP="00E95188">
      <w:pPr>
        <w:pStyle w:val="KeinLeerraum"/>
        <w:keepNext/>
        <w:jc w:val="both"/>
        <w:rPr>
          <w:lang w:val="en-GB"/>
        </w:rPr>
        <w:sectPr w:rsidR="00AD662B" w:rsidRPr="0017063B" w:rsidSect="00AD662B">
          <w:pgSz w:w="16838" w:h="11906" w:orient="landscape"/>
          <w:pgMar w:top="1418" w:right="1418" w:bottom="1418" w:left="1418" w:header="709" w:footer="709" w:gutter="0"/>
          <w:cols w:space="708"/>
          <w:docGrid w:linePitch="360"/>
        </w:sectPr>
      </w:pPr>
    </w:p>
    <w:p w14:paraId="248613C5" w14:textId="77777777" w:rsidR="00483939" w:rsidRPr="0017063B" w:rsidRDefault="00CB4841" w:rsidP="00E95188">
      <w:pPr>
        <w:pStyle w:val="KeinLeerraum"/>
        <w:keepNext/>
        <w:jc w:val="both"/>
        <w:rPr>
          <w:lang w:val="en-GB"/>
        </w:rPr>
      </w:pPr>
      <w:r w:rsidRPr="0017063B">
        <w:rPr>
          <w:noProof/>
          <w:lang w:val="de-DE" w:eastAsia="de-DE"/>
        </w:rPr>
        <w:lastRenderedPageBreak/>
        <w:drawing>
          <wp:inline distT="0" distB="0" distL="0" distR="0" wp14:anchorId="177DBEBA" wp14:editId="4E0A9B25">
            <wp:extent cx="5203031" cy="8324850"/>
            <wp:effectExtent l="0" t="0" r="0" b="0"/>
            <wp:docPr id="2" name="Afbeelding 2" descr="C:\Users\Erik\AppData\Local\Microsoft\Windows\INetCache\Content.Word\Midpoint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k\AppData\Local\Microsoft\Windows\INetCache\Content.Word\Midpointfig.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05718" cy="8329150"/>
                    </a:xfrm>
                    <a:prstGeom prst="rect">
                      <a:avLst/>
                    </a:prstGeom>
                    <a:noFill/>
                    <a:ln>
                      <a:noFill/>
                    </a:ln>
                  </pic:spPr>
                </pic:pic>
              </a:graphicData>
            </a:graphic>
          </wp:inline>
        </w:drawing>
      </w:r>
    </w:p>
    <w:p w14:paraId="46B12DC1" w14:textId="27EBD5BF" w:rsidR="0099388D" w:rsidRPr="0017063B" w:rsidRDefault="0017063B" w:rsidP="00E95188">
      <w:pPr>
        <w:pStyle w:val="Beschriftung"/>
        <w:jc w:val="both"/>
        <w:rPr>
          <w:i w:val="0"/>
          <w:color w:val="auto"/>
          <w:lang w:val="en-GB"/>
        </w:rPr>
      </w:pPr>
      <w:r>
        <w:rPr>
          <w:b/>
          <w:i w:val="0"/>
          <w:color w:val="auto"/>
          <w:lang w:val="en-GB"/>
        </w:rPr>
        <w:t xml:space="preserve">Fig. </w:t>
      </w:r>
      <w:r w:rsidR="00911CDC" w:rsidRPr="0017063B">
        <w:rPr>
          <w:b/>
          <w:i w:val="0"/>
          <w:color w:val="auto"/>
          <w:lang w:val="en-GB"/>
        </w:rPr>
        <w:t>S</w:t>
      </w:r>
      <w:r w:rsidR="00D9534D" w:rsidRPr="0017063B">
        <w:rPr>
          <w:b/>
          <w:i w:val="0"/>
          <w:color w:val="auto"/>
          <w:lang w:val="en-GB"/>
        </w:rPr>
        <w:t>1</w:t>
      </w:r>
      <w:r w:rsidR="00AD7D3E" w:rsidRPr="0017063B">
        <w:rPr>
          <w:b/>
          <w:i w:val="0"/>
          <w:color w:val="auto"/>
          <w:lang w:val="en-GB"/>
        </w:rPr>
        <w:t>2</w:t>
      </w:r>
      <w:r w:rsidR="00911CDC" w:rsidRPr="0017063B">
        <w:rPr>
          <w:b/>
          <w:i w:val="0"/>
          <w:color w:val="auto"/>
          <w:lang w:val="en-GB"/>
        </w:rPr>
        <w:t>.</w:t>
      </w:r>
      <w:r w:rsidR="00483939" w:rsidRPr="0017063B">
        <w:rPr>
          <w:i w:val="0"/>
          <w:color w:val="auto"/>
          <w:lang w:val="en-GB"/>
        </w:rPr>
        <w:t xml:space="preserve"> Impact per kg of 15</w:t>
      </w:r>
      <w:r w:rsidR="004676FD" w:rsidRPr="0017063B">
        <w:rPr>
          <w:i w:val="0"/>
          <w:color w:val="auto"/>
          <w:lang w:val="en-GB"/>
        </w:rPr>
        <w:t>2</w:t>
      </w:r>
      <w:r w:rsidR="00483939" w:rsidRPr="0017063B">
        <w:rPr>
          <w:i w:val="0"/>
          <w:color w:val="auto"/>
          <w:lang w:val="en-GB"/>
        </w:rPr>
        <w:t xml:space="preserve"> food products in ReCiPe 2016 compared with ReCiPe 2008. Impacts for six midpoint </w:t>
      </w:r>
      <w:r w:rsidR="00911CDC" w:rsidRPr="0017063B">
        <w:rPr>
          <w:i w:val="0"/>
          <w:color w:val="auto"/>
          <w:lang w:val="en-GB"/>
        </w:rPr>
        <w:t>categories</w:t>
      </w:r>
      <w:r w:rsidR="00483939" w:rsidRPr="0017063B">
        <w:rPr>
          <w:i w:val="0"/>
          <w:color w:val="auto"/>
          <w:lang w:val="en-GB"/>
        </w:rPr>
        <w:t xml:space="preserve"> (Global warming, Freshwater eutrophication, Terrestrial acidification, Water use, Land use and Fine Particulate matter formation) and for three different value choices (Individualist (I), Hierarchist (H) and Egalitarian (E). Line for best fit in blue, black line indicates 1:1 line. </w:t>
      </w:r>
    </w:p>
    <w:p w14:paraId="16352001" w14:textId="5EF4B7B9" w:rsidR="00D9534D" w:rsidRPr="0017063B" w:rsidRDefault="00D35884" w:rsidP="00E95188">
      <w:pPr>
        <w:pStyle w:val="KeinLeerraum"/>
        <w:keepNext/>
        <w:jc w:val="both"/>
        <w:rPr>
          <w:rFonts w:cstheme="minorHAnsi"/>
        </w:rPr>
      </w:pPr>
      <w:r w:rsidRPr="0017063B">
        <w:rPr>
          <w:noProof/>
          <w:lang w:val="de-DE" w:eastAsia="de-DE"/>
        </w:rPr>
        <w:lastRenderedPageBreak/>
        <w:drawing>
          <wp:inline distT="0" distB="0" distL="0" distR="0" wp14:anchorId="6D39105E" wp14:editId="63D018D3">
            <wp:extent cx="5759450" cy="4886960"/>
            <wp:effectExtent l="0" t="0" r="0" b="889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4886960"/>
                    </a:xfrm>
                    <a:prstGeom prst="rect">
                      <a:avLst/>
                    </a:prstGeom>
                  </pic:spPr>
                </pic:pic>
              </a:graphicData>
            </a:graphic>
          </wp:inline>
        </w:drawing>
      </w:r>
    </w:p>
    <w:p w14:paraId="0F198681" w14:textId="7D06DD17" w:rsidR="00D9534D" w:rsidRPr="0017063B" w:rsidRDefault="0017063B" w:rsidP="00E95188">
      <w:pPr>
        <w:pStyle w:val="Beschriftung"/>
        <w:jc w:val="both"/>
        <w:rPr>
          <w:rFonts w:cstheme="minorHAnsi"/>
          <w:i w:val="0"/>
          <w:color w:val="auto"/>
          <w:lang w:val="en-GB"/>
        </w:rPr>
      </w:pPr>
      <w:r>
        <w:rPr>
          <w:rFonts w:cstheme="minorHAnsi"/>
          <w:b/>
          <w:i w:val="0"/>
          <w:color w:val="auto"/>
          <w:lang w:val="en-GB"/>
        </w:rPr>
        <w:t xml:space="preserve">Fig. </w:t>
      </w:r>
      <w:r w:rsidR="00911CDC" w:rsidRPr="0017063B">
        <w:rPr>
          <w:rFonts w:cstheme="minorHAnsi"/>
          <w:b/>
          <w:i w:val="0"/>
          <w:color w:val="auto"/>
          <w:lang w:val="en-GB"/>
        </w:rPr>
        <w:t>S</w:t>
      </w:r>
      <w:r w:rsidR="00040F65" w:rsidRPr="0017063B">
        <w:rPr>
          <w:rFonts w:cstheme="minorHAnsi"/>
          <w:b/>
          <w:i w:val="0"/>
          <w:color w:val="auto"/>
          <w:lang w:val="en-GB"/>
        </w:rPr>
        <w:t>1</w:t>
      </w:r>
      <w:r w:rsidR="00AD7D3E" w:rsidRPr="0017063B">
        <w:rPr>
          <w:rFonts w:cstheme="minorHAnsi"/>
          <w:b/>
          <w:i w:val="0"/>
          <w:color w:val="auto"/>
          <w:lang w:val="en-GB"/>
        </w:rPr>
        <w:t>3</w:t>
      </w:r>
      <w:r w:rsidR="00D9534D" w:rsidRPr="0017063B">
        <w:rPr>
          <w:rFonts w:cstheme="minorHAnsi"/>
          <w:i w:val="0"/>
          <w:color w:val="auto"/>
          <w:lang w:val="en-GB"/>
        </w:rPr>
        <w:t>. Impact per kg of 15</w:t>
      </w:r>
      <w:r w:rsidR="004676FD" w:rsidRPr="0017063B">
        <w:rPr>
          <w:rFonts w:cstheme="minorHAnsi"/>
          <w:i w:val="0"/>
          <w:color w:val="auto"/>
          <w:lang w:val="en-GB"/>
        </w:rPr>
        <w:t>2</w:t>
      </w:r>
      <w:r w:rsidR="00D9534D" w:rsidRPr="0017063B">
        <w:rPr>
          <w:rFonts w:cstheme="minorHAnsi"/>
          <w:i w:val="0"/>
          <w:color w:val="auto"/>
          <w:lang w:val="en-GB"/>
        </w:rPr>
        <w:t xml:space="preserve"> food products in ReCiPe 2016, with </w:t>
      </w:r>
      <w:r w:rsidR="00911CDC" w:rsidRPr="0017063B">
        <w:rPr>
          <w:rFonts w:cstheme="minorHAnsi"/>
          <w:i w:val="0"/>
          <w:color w:val="auto"/>
          <w:lang w:val="en-GB"/>
        </w:rPr>
        <w:t>global-average</w:t>
      </w:r>
      <w:r w:rsidR="00D9534D" w:rsidRPr="0017063B">
        <w:rPr>
          <w:rFonts w:cstheme="minorHAnsi"/>
          <w:i w:val="0"/>
          <w:color w:val="auto"/>
          <w:lang w:val="en-GB"/>
        </w:rPr>
        <w:t xml:space="preserve"> and </w:t>
      </w:r>
      <w:r w:rsidR="00911CDC" w:rsidRPr="0017063B">
        <w:rPr>
          <w:rFonts w:cstheme="minorHAnsi"/>
          <w:i w:val="0"/>
          <w:color w:val="auto"/>
          <w:lang w:val="en-GB"/>
        </w:rPr>
        <w:t>Dutch-specific</w:t>
      </w:r>
      <w:r w:rsidR="00D9534D" w:rsidRPr="0017063B">
        <w:rPr>
          <w:rFonts w:cstheme="minorHAnsi"/>
          <w:i w:val="0"/>
          <w:color w:val="auto"/>
          <w:lang w:val="en-GB"/>
        </w:rPr>
        <w:t xml:space="preserve"> characterisation factors. Impacts for three impact categories on mid and endpoint level, </w:t>
      </w:r>
      <w:r w:rsidR="00911CDC" w:rsidRPr="0017063B">
        <w:rPr>
          <w:rFonts w:cstheme="minorHAnsi"/>
          <w:i w:val="0"/>
          <w:color w:val="auto"/>
          <w:lang w:val="en-GB"/>
        </w:rPr>
        <w:t xml:space="preserve">i.e. </w:t>
      </w:r>
      <w:r w:rsidR="00D9534D" w:rsidRPr="0017063B">
        <w:rPr>
          <w:rFonts w:cstheme="minorHAnsi"/>
          <w:i w:val="0"/>
          <w:color w:val="auto"/>
          <w:lang w:val="en-GB"/>
        </w:rPr>
        <w:t>terrestrial acidification, fine particulate matter formation and freshwater eutrophication. All impacts are from a hierarchist perspective. Line for best fit in blue, black line indicates 1:1 line.</w:t>
      </w:r>
    </w:p>
    <w:p w14:paraId="6149C8EB" w14:textId="40D04208" w:rsidR="00D9534D" w:rsidRPr="0017063B" w:rsidRDefault="00D9534D" w:rsidP="00E95188">
      <w:pPr>
        <w:jc w:val="both"/>
        <w:rPr>
          <w:lang w:val="en-GB"/>
        </w:rPr>
      </w:pPr>
    </w:p>
    <w:p w14:paraId="79EC5CA4" w14:textId="77777777" w:rsidR="00911CDC" w:rsidRPr="0017063B" w:rsidRDefault="00911CDC">
      <w:pPr>
        <w:rPr>
          <w:b/>
          <w:lang w:val="en-GB"/>
        </w:rPr>
      </w:pPr>
      <w:r w:rsidRPr="0017063B">
        <w:rPr>
          <w:b/>
          <w:lang w:val="en-GB"/>
        </w:rPr>
        <w:br w:type="page"/>
      </w:r>
    </w:p>
    <w:p w14:paraId="10820DCB" w14:textId="4B2F8ACB" w:rsidR="00973581" w:rsidRPr="0017063B" w:rsidRDefault="004F68D3" w:rsidP="0017063B">
      <w:pPr>
        <w:jc w:val="both"/>
        <w:rPr>
          <w:b/>
          <w:lang w:val="en-GB"/>
        </w:rPr>
      </w:pPr>
      <w:r w:rsidRPr="0017063B">
        <w:rPr>
          <w:b/>
          <w:lang w:val="en-GB"/>
        </w:rPr>
        <w:lastRenderedPageBreak/>
        <w:t>References</w:t>
      </w:r>
    </w:p>
    <w:p w14:paraId="481FA37D" w14:textId="039C201A" w:rsidR="005253E9" w:rsidRPr="0017063B" w:rsidRDefault="004F68D3"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lang w:val="en-GB"/>
        </w:rPr>
        <w:fldChar w:fldCharType="begin" w:fldLock="1"/>
      </w:r>
      <w:r w:rsidRPr="0017063B">
        <w:rPr>
          <w:lang w:val="en-GB"/>
        </w:rPr>
        <w:instrText xml:space="preserve">ADDIN Mendeley Bibliography CSL_BIBLIOGRAPHY </w:instrText>
      </w:r>
      <w:r w:rsidRPr="0017063B">
        <w:rPr>
          <w:lang w:val="en-GB"/>
        </w:rPr>
        <w:fldChar w:fldCharType="separate"/>
      </w:r>
      <w:r w:rsidR="005253E9" w:rsidRPr="0017063B">
        <w:rPr>
          <w:rFonts w:ascii="Calibri" w:hAnsi="Calibri" w:cs="Calibri"/>
          <w:noProof/>
          <w:szCs w:val="24"/>
          <w:lang w:val="en-US"/>
        </w:rPr>
        <w:t>Bare J (2011) TRACI 2 . 0 : the tool for the reduction and assessment of chemical and other environmental impacts 2 . 0. Clean Technol Environ Policy 687–696. doi: 10.1007/s10098-010-0338-9</w:t>
      </w:r>
    </w:p>
    <w:p w14:paraId="00CFD9F7" w14:textId="2E91516C"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rPr>
      </w:pPr>
      <w:r w:rsidRPr="0017063B">
        <w:rPr>
          <w:rFonts w:ascii="Calibri" w:hAnsi="Calibri" w:cs="Calibri"/>
          <w:noProof/>
          <w:szCs w:val="24"/>
          <w:lang w:val="en-US"/>
        </w:rPr>
        <w:t xml:space="preserve">Bulle C, Fantke P, Jolliet O et al (2018) Impact World+. http://www.impactworldplus.org/. </w:t>
      </w:r>
      <w:r w:rsidRPr="0017063B">
        <w:rPr>
          <w:rFonts w:ascii="Calibri" w:hAnsi="Calibri" w:cs="Calibri"/>
          <w:noProof/>
          <w:szCs w:val="24"/>
        </w:rPr>
        <w:t>Accessed 24 Aug 2018</w:t>
      </w:r>
    </w:p>
    <w:p w14:paraId="40E98D41" w14:textId="17ED6811"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rFonts w:ascii="Calibri" w:hAnsi="Calibri" w:cs="Calibri"/>
          <w:noProof/>
          <w:szCs w:val="24"/>
        </w:rPr>
        <w:t xml:space="preserve">Goedkoop M, Heijungs R, Huijbregts M et al (2009) ReCiPe 2008. </w:t>
      </w:r>
      <w:r w:rsidRPr="0017063B">
        <w:rPr>
          <w:rFonts w:ascii="Calibri" w:hAnsi="Calibri" w:cs="Calibri"/>
          <w:noProof/>
          <w:szCs w:val="24"/>
          <w:lang w:val="en-US"/>
        </w:rPr>
        <w:t>1–44. doi: 10.029/2003JD004283</w:t>
      </w:r>
    </w:p>
    <w:p w14:paraId="5ADCDD1D" w14:textId="77777777"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rFonts w:ascii="Calibri" w:hAnsi="Calibri" w:cs="Calibri"/>
          <w:noProof/>
          <w:szCs w:val="24"/>
          <w:lang w:val="en-US"/>
        </w:rPr>
        <w:t>Goldstein B, Foss S, Gjerris M, et al (2016) Ethical aspects of life cycle assessments of diets. Food Policy 59:139–151. doi: 10.1016/j.foodpol.2016.01.006</w:t>
      </w:r>
    </w:p>
    <w:p w14:paraId="661B996B" w14:textId="09BE00C3"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rFonts w:ascii="Calibri" w:hAnsi="Calibri" w:cs="Calibri"/>
          <w:noProof/>
          <w:szCs w:val="24"/>
          <w:lang w:val="en-US"/>
        </w:rPr>
        <w:t>Hauschild MZ, Goedkoop M, Guinée J et al (2013) Identifying best existing practice for characterization modeling in life cycle impact assessment. Int J Life Cycle Assess 683–697. doi: 10.1007/s11367-012-0489-5</w:t>
      </w:r>
    </w:p>
    <w:p w14:paraId="4BD98FB0" w14:textId="592FEF3D"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rFonts w:ascii="Calibri" w:hAnsi="Calibri" w:cs="Calibri"/>
          <w:noProof/>
          <w:szCs w:val="24"/>
          <w:lang w:val="en-US"/>
        </w:rPr>
        <w:t>Huijbregts MAJ, Steinmann ZJN, Elshout PMF et al (2016) ReCiPe 2016. Bilthoven, the Netherlands</w:t>
      </w:r>
    </w:p>
    <w:p w14:paraId="746A2967" w14:textId="77777777"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rFonts w:ascii="Calibri" w:hAnsi="Calibri" w:cs="Calibri"/>
          <w:noProof/>
          <w:szCs w:val="24"/>
          <w:lang w:val="en-US"/>
        </w:rPr>
        <w:t>Huijbregts MAJ, Steinmann ZJN, Elshout PMF, Stam G (2017) ReCiPe2016 : a harmonized life cycle impact assessment method at midpoint and endpoint level. Int J Life Cycle Assess 1–16. doi: 10.1007/s11367-016-1246-y</w:t>
      </w:r>
    </w:p>
    <w:p w14:paraId="27C345C9" w14:textId="77777777"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rFonts w:ascii="Calibri" w:hAnsi="Calibri" w:cs="Calibri"/>
          <w:noProof/>
          <w:szCs w:val="24"/>
          <w:lang w:val="en-US"/>
        </w:rPr>
        <w:t>Itsubo N, Inaba A (2003) A new LCIA method: LIME has been completed. Int J Life Cycle Assess 8:305–305. doi: 10.1007/BF02978923</w:t>
      </w:r>
    </w:p>
    <w:p w14:paraId="0959031E" w14:textId="77777777"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rFonts w:ascii="Calibri" w:hAnsi="Calibri" w:cs="Calibri"/>
          <w:noProof/>
          <w:szCs w:val="24"/>
          <w:lang w:val="en-US"/>
        </w:rPr>
        <w:t>LC-Impact (2018) LC-Impact. http://lc-impact.eu/. Accessed 24 Aug 2018</w:t>
      </w:r>
    </w:p>
    <w:p w14:paraId="36D95A3C" w14:textId="77777777"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rFonts w:ascii="Calibri" w:hAnsi="Calibri" w:cs="Calibri"/>
          <w:noProof/>
          <w:szCs w:val="24"/>
          <w:lang w:val="en-US"/>
        </w:rPr>
        <w:t>Manfredi M, Vignali G (2014) Life cycle assessment of a packaged tomato puree: A comparison of environmental impacts produced by different life cycle phases. J Clean Prod 73:275–284. doi: 10.1016/j.jclepro.2013.10.010</w:t>
      </w:r>
    </w:p>
    <w:p w14:paraId="4B677C73" w14:textId="1EF9CC0E"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rFonts w:ascii="Calibri" w:hAnsi="Calibri" w:cs="Calibri"/>
          <w:noProof/>
          <w:szCs w:val="24"/>
          <w:lang w:val="en-US"/>
        </w:rPr>
        <w:t>Slimani N, Ferrari P, Ocke M et al (2000) Standardization of the 24-hour diet recall calibration method used in the European Prospective Investigation into Cancer and Nutrition (EPIC): general concepts and preliminary results. Eur J Clin Nutr 54:900–917. doi: 10.1038/sj.ejcn.1601107</w:t>
      </w:r>
    </w:p>
    <w:p w14:paraId="5C1E1AA6" w14:textId="77777777"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szCs w:val="24"/>
          <w:lang w:val="en-US"/>
        </w:rPr>
      </w:pPr>
      <w:r w:rsidRPr="0017063B">
        <w:rPr>
          <w:rFonts w:ascii="Calibri" w:hAnsi="Calibri" w:cs="Calibri"/>
          <w:noProof/>
          <w:szCs w:val="24"/>
          <w:lang w:val="en-US"/>
        </w:rPr>
        <w:t>Smetana S, Mathys A, Knoch A, Heinz V (2015) Meat alternatives : life cycle assessment of most known meat substitutes. Int J Life Cycle Assess 2050:1254–1267. doi: 10.1007/s11367-015-0931-6</w:t>
      </w:r>
    </w:p>
    <w:p w14:paraId="09F1281A" w14:textId="77777777" w:rsidR="005253E9" w:rsidRPr="0017063B" w:rsidRDefault="005253E9" w:rsidP="0017063B">
      <w:pPr>
        <w:widowControl w:val="0"/>
        <w:autoSpaceDE w:val="0"/>
        <w:autoSpaceDN w:val="0"/>
        <w:adjustRightInd w:val="0"/>
        <w:spacing w:line="240" w:lineRule="auto"/>
        <w:ind w:left="480" w:hanging="480"/>
        <w:jc w:val="both"/>
        <w:rPr>
          <w:rFonts w:ascii="Calibri" w:hAnsi="Calibri" w:cs="Calibri"/>
          <w:noProof/>
          <w:lang w:val="en-US"/>
        </w:rPr>
      </w:pPr>
      <w:r w:rsidRPr="0017063B">
        <w:rPr>
          <w:rFonts w:ascii="Calibri" w:hAnsi="Calibri" w:cs="Calibri"/>
          <w:noProof/>
          <w:szCs w:val="24"/>
          <w:lang w:val="en-US"/>
        </w:rPr>
        <w:t>Van Rossum CTM, Fransen HP, Verkaik-Kloosterman J, et al (2011) Dutch National Food Consumption Survey 2007-2010</w:t>
      </w:r>
    </w:p>
    <w:p w14:paraId="58CFC510" w14:textId="6ABCC169" w:rsidR="004F68D3" w:rsidRPr="0017063B" w:rsidRDefault="004F68D3" w:rsidP="0017063B">
      <w:pPr>
        <w:jc w:val="both"/>
        <w:rPr>
          <w:lang w:val="en-GB"/>
        </w:rPr>
      </w:pPr>
      <w:r w:rsidRPr="0017063B">
        <w:rPr>
          <w:lang w:val="en-GB"/>
        </w:rPr>
        <w:fldChar w:fldCharType="end"/>
      </w:r>
    </w:p>
    <w:sectPr w:rsidR="004F68D3" w:rsidRPr="0017063B" w:rsidSect="0099388D">
      <w:pgSz w:w="11906" w:h="16838"/>
      <w:pgMar w:top="1418" w:right="1418" w:bottom="1418" w:left="1418" w:header="709" w:footer="709"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E2662AD" w16cid:durableId="20451E7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9C9ACA" w14:textId="77777777" w:rsidR="00831679" w:rsidRDefault="00831679" w:rsidP="00920CEC">
      <w:pPr>
        <w:spacing w:after="0" w:line="240" w:lineRule="auto"/>
      </w:pPr>
      <w:r>
        <w:separator/>
      </w:r>
    </w:p>
  </w:endnote>
  <w:endnote w:type="continuationSeparator" w:id="0">
    <w:p w14:paraId="31AE3231" w14:textId="77777777" w:rsidR="00831679" w:rsidRDefault="00831679" w:rsidP="00920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7572672"/>
      <w:docPartObj>
        <w:docPartGallery w:val="Page Numbers (Bottom of Page)"/>
        <w:docPartUnique/>
      </w:docPartObj>
    </w:sdtPr>
    <w:sdtEndPr/>
    <w:sdtContent>
      <w:p w14:paraId="43E3562C" w14:textId="77777777" w:rsidR="00920CEC" w:rsidRDefault="00920CEC">
        <w:pPr>
          <w:pStyle w:val="Fuzeile"/>
        </w:pPr>
        <w:r>
          <w:rPr>
            <w:noProof/>
            <w:lang w:val="de-DE" w:eastAsia="de-DE"/>
          </w:rPr>
          <mc:AlternateContent>
            <mc:Choice Requires="wps">
              <w:drawing>
                <wp:anchor distT="0" distB="0" distL="114300" distR="114300" simplePos="0" relativeHeight="251659264" behindDoc="0" locked="0" layoutInCell="1" allowOverlap="1" wp14:anchorId="731F012F" wp14:editId="077D6D9A">
                  <wp:simplePos x="0" y="0"/>
                  <wp:positionH relativeFrom="rightMargin">
                    <wp:align>center</wp:align>
                  </wp:positionH>
                  <wp:positionV relativeFrom="bottomMargin">
                    <wp:align>center</wp:align>
                  </wp:positionV>
                  <wp:extent cx="565785" cy="191770"/>
                  <wp:effectExtent l="0" t="0" r="0" b="0"/>
                  <wp:wrapNone/>
                  <wp:docPr id="29" name="Rechthoek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1E2546E" w14:textId="4E237DC3" w:rsidR="00920CEC" w:rsidRDefault="00920CEC">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sidR="00D81392" w:rsidRPr="00D81392">
                                <w:rPr>
                                  <w:noProof/>
                                  <w:color w:val="ED7D31" w:themeColor="accent2"/>
                                </w:rPr>
                                <w:t>1</w:t>
                              </w:r>
                              <w:r>
                                <w:rPr>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31F012F" id="Rechthoek 29"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" filled="f" fillcolor="#c0504d" stroked="f" strokecolor="#5c83b4" strokeweight="2.25pt">
                  <v:textbox inset=",0,,0">
                    <w:txbxContent>
                      <w:p w14:paraId="71E2546E" w14:textId="4E237DC3" w:rsidR="00920CEC" w:rsidRDefault="00920CEC">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sidR="00D81392" w:rsidRPr="00D81392">
                          <w:rPr>
                            <w:noProof/>
                            <w:color w:val="ED7D31" w:themeColor="accent2"/>
                          </w:rPr>
                          <w:t>1</w:t>
                        </w:r>
                        <w:r>
                          <w:rPr>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814393" w14:textId="77777777" w:rsidR="00831679" w:rsidRDefault="00831679" w:rsidP="00920CEC">
      <w:pPr>
        <w:spacing w:after="0" w:line="240" w:lineRule="auto"/>
      </w:pPr>
      <w:r>
        <w:separator/>
      </w:r>
    </w:p>
  </w:footnote>
  <w:footnote w:type="continuationSeparator" w:id="0">
    <w:p w14:paraId="7C52E63A" w14:textId="77777777" w:rsidR="00831679" w:rsidRDefault="00831679" w:rsidP="00920C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12072"/>
    <w:multiLevelType w:val="hybridMultilevel"/>
    <w:tmpl w:val="F2F8B8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4E37107"/>
    <w:multiLevelType w:val="hybridMultilevel"/>
    <w:tmpl w:val="00AAF2EA"/>
    <w:lvl w:ilvl="0" w:tplc="5956AF14">
      <w:start w:val="2"/>
      <w:numFmt w:val="bullet"/>
      <w:lvlText w:val="-"/>
      <w:lvlJc w:val="left"/>
      <w:pPr>
        <w:ind w:left="113" w:hanging="113"/>
      </w:pPr>
      <w:rPr>
        <w:rFonts w:ascii="Calibri" w:eastAsiaTheme="minorHAnsi" w:hAnsi="Calibri" w:cstheme="minorBidi" w:hint="default"/>
        <w:color w:val="000000" w:themeColor="text1"/>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7A8"/>
    <w:rsid w:val="00006E55"/>
    <w:rsid w:val="000113EF"/>
    <w:rsid w:val="00013C95"/>
    <w:rsid w:val="000260A3"/>
    <w:rsid w:val="00031923"/>
    <w:rsid w:val="00040F65"/>
    <w:rsid w:val="00042D43"/>
    <w:rsid w:val="00046D4A"/>
    <w:rsid w:val="000720C3"/>
    <w:rsid w:val="0008090D"/>
    <w:rsid w:val="00083143"/>
    <w:rsid w:val="00083808"/>
    <w:rsid w:val="000852EE"/>
    <w:rsid w:val="00087846"/>
    <w:rsid w:val="00090324"/>
    <w:rsid w:val="00090D86"/>
    <w:rsid w:val="00091F1E"/>
    <w:rsid w:val="00093030"/>
    <w:rsid w:val="00095701"/>
    <w:rsid w:val="000971FF"/>
    <w:rsid w:val="000A49C7"/>
    <w:rsid w:val="000B32EB"/>
    <w:rsid w:val="000B6166"/>
    <w:rsid w:val="000D0A3B"/>
    <w:rsid w:val="000D4A2C"/>
    <w:rsid w:val="000E5B2F"/>
    <w:rsid w:val="000E63CA"/>
    <w:rsid w:val="000F68F7"/>
    <w:rsid w:val="00103F70"/>
    <w:rsid w:val="00105AA6"/>
    <w:rsid w:val="001072CF"/>
    <w:rsid w:val="001106AE"/>
    <w:rsid w:val="00123B37"/>
    <w:rsid w:val="0013023D"/>
    <w:rsid w:val="00133AC2"/>
    <w:rsid w:val="0013501F"/>
    <w:rsid w:val="00146BB7"/>
    <w:rsid w:val="001519F3"/>
    <w:rsid w:val="00154503"/>
    <w:rsid w:val="001621ED"/>
    <w:rsid w:val="001623F8"/>
    <w:rsid w:val="00162440"/>
    <w:rsid w:val="00164189"/>
    <w:rsid w:val="00167C23"/>
    <w:rsid w:val="0017063B"/>
    <w:rsid w:val="00176C51"/>
    <w:rsid w:val="00181700"/>
    <w:rsid w:val="0018302C"/>
    <w:rsid w:val="001A3209"/>
    <w:rsid w:val="001A3611"/>
    <w:rsid w:val="001A62BC"/>
    <w:rsid w:val="001B66C0"/>
    <w:rsid w:val="001C08F4"/>
    <w:rsid w:val="001C3101"/>
    <w:rsid w:val="001D3196"/>
    <w:rsid w:val="001D3E68"/>
    <w:rsid w:val="001E11AE"/>
    <w:rsid w:val="001F62D0"/>
    <w:rsid w:val="001F6F19"/>
    <w:rsid w:val="00202D93"/>
    <w:rsid w:val="00203CC7"/>
    <w:rsid w:val="00204146"/>
    <w:rsid w:val="002054EB"/>
    <w:rsid w:val="00207A1B"/>
    <w:rsid w:val="00210F49"/>
    <w:rsid w:val="00217B5D"/>
    <w:rsid w:val="0022132A"/>
    <w:rsid w:val="0022334C"/>
    <w:rsid w:val="00223EB3"/>
    <w:rsid w:val="00227E55"/>
    <w:rsid w:val="00232247"/>
    <w:rsid w:val="00232E07"/>
    <w:rsid w:val="002337CB"/>
    <w:rsid w:val="00240576"/>
    <w:rsid w:val="00242C82"/>
    <w:rsid w:val="00244171"/>
    <w:rsid w:val="00246533"/>
    <w:rsid w:val="00251C8C"/>
    <w:rsid w:val="002601CE"/>
    <w:rsid w:val="00264F97"/>
    <w:rsid w:val="002841D9"/>
    <w:rsid w:val="002862B7"/>
    <w:rsid w:val="0029240D"/>
    <w:rsid w:val="00294072"/>
    <w:rsid w:val="00294AC0"/>
    <w:rsid w:val="002A3E94"/>
    <w:rsid w:val="002A56BE"/>
    <w:rsid w:val="002A774F"/>
    <w:rsid w:val="002B245D"/>
    <w:rsid w:val="002B5473"/>
    <w:rsid w:val="002B7CFA"/>
    <w:rsid w:val="002C4A3C"/>
    <w:rsid w:val="002C5722"/>
    <w:rsid w:val="002C6B66"/>
    <w:rsid w:val="002D5033"/>
    <w:rsid w:val="002E5764"/>
    <w:rsid w:val="002E60FD"/>
    <w:rsid w:val="003064E5"/>
    <w:rsid w:val="00306A93"/>
    <w:rsid w:val="00311C0A"/>
    <w:rsid w:val="003126D0"/>
    <w:rsid w:val="00314B16"/>
    <w:rsid w:val="00317932"/>
    <w:rsid w:val="00320C38"/>
    <w:rsid w:val="00320CB2"/>
    <w:rsid w:val="0032147C"/>
    <w:rsid w:val="00336021"/>
    <w:rsid w:val="003404D5"/>
    <w:rsid w:val="003418F1"/>
    <w:rsid w:val="00353249"/>
    <w:rsid w:val="00355E71"/>
    <w:rsid w:val="00383E36"/>
    <w:rsid w:val="00390735"/>
    <w:rsid w:val="00392A6A"/>
    <w:rsid w:val="00393FC8"/>
    <w:rsid w:val="003A0987"/>
    <w:rsid w:val="003B5431"/>
    <w:rsid w:val="003C1965"/>
    <w:rsid w:val="003C591B"/>
    <w:rsid w:val="003D32C0"/>
    <w:rsid w:val="003D7306"/>
    <w:rsid w:val="003D77F0"/>
    <w:rsid w:val="003D7A15"/>
    <w:rsid w:val="003E2FFE"/>
    <w:rsid w:val="003F12CA"/>
    <w:rsid w:val="003F332A"/>
    <w:rsid w:val="0040370F"/>
    <w:rsid w:val="00405BC5"/>
    <w:rsid w:val="00412E76"/>
    <w:rsid w:val="00427797"/>
    <w:rsid w:val="00431E1E"/>
    <w:rsid w:val="0043293B"/>
    <w:rsid w:val="00432C34"/>
    <w:rsid w:val="00436220"/>
    <w:rsid w:val="00441557"/>
    <w:rsid w:val="004436AE"/>
    <w:rsid w:val="0044753F"/>
    <w:rsid w:val="00450138"/>
    <w:rsid w:val="00452BF0"/>
    <w:rsid w:val="00454185"/>
    <w:rsid w:val="00455648"/>
    <w:rsid w:val="00456FA8"/>
    <w:rsid w:val="00463B7B"/>
    <w:rsid w:val="004676FD"/>
    <w:rsid w:val="00473EBA"/>
    <w:rsid w:val="0047495D"/>
    <w:rsid w:val="00476748"/>
    <w:rsid w:val="00483939"/>
    <w:rsid w:val="004B5323"/>
    <w:rsid w:val="004B7D40"/>
    <w:rsid w:val="004C3888"/>
    <w:rsid w:val="004C7C8C"/>
    <w:rsid w:val="004D0677"/>
    <w:rsid w:val="004D0733"/>
    <w:rsid w:val="004D61DE"/>
    <w:rsid w:val="004D65C8"/>
    <w:rsid w:val="004E1041"/>
    <w:rsid w:val="004E18D6"/>
    <w:rsid w:val="004F67A9"/>
    <w:rsid w:val="004F68D3"/>
    <w:rsid w:val="00514AAE"/>
    <w:rsid w:val="005253E9"/>
    <w:rsid w:val="00526ED8"/>
    <w:rsid w:val="005344EC"/>
    <w:rsid w:val="0053471C"/>
    <w:rsid w:val="00540E70"/>
    <w:rsid w:val="0054311F"/>
    <w:rsid w:val="0057786A"/>
    <w:rsid w:val="005939E6"/>
    <w:rsid w:val="0059730A"/>
    <w:rsid w:val="005A2295"/>
    <w:rsid w:val="005A5EF7"/>
    <w:rsid w:val="005A66D2"/>
    <w:rsid w:val="005A7358"/>
    <w:rsid w:val="005B0A19"/>
    <w:rsid w:val="005C159B"/>
    <w:rsid w:val="005E6B57"/>
    <w:rsid w:val="005F1EA5"/>
    <w:rsid w:val="00600EF4"/>
    <w:rsid w:val="00601B08"/>
    <w:rsid w:val="006045EF"/>
    <w:rsid w:val="0060463A"/>
    <w:rsid w:val="0062155F"/>
    <w:rsid w:val="00627DD2"/>
    <w:rsid w:val="00633CBB"/>
    <w:rsid w:val="006365CF"/>
    <w:rsid w:val="00636753"/>
    <w:rsid w:val="00656C63"/>
    <w:rsid w:val="006637E6"/>
    <w:rsid w:val="00663CCD"/>
    <w:rsid w:val="0068723B"/>
    <w:rsid w:val="00694A10"/>
    <w:rsid w:val="006A3656"/>
    <w:rsid w:val="006B01E8"/>
    <w:rsid w:val="006B3B43"/>
    <w:rsid w:val="006B64A9"/>
    <w:rsid w:val="006B794A"/>
    <w:rsid w:val="006C4798"/>
    <w:rsid w:val="006C67C6"/>
    <w:rsid w:val="006D2804"/>
    <w:rsid w:val="006D6AE7"/>
    <w:rsid w:val="006E06E3"/>
    <w:rsid w:val="006E31C3"/>
    <w:rsid w:val="006E71A1"/>
    <w:rsid w:val="006F020A"/>
    <w:rsid w:val="006F3EEF"/>
    <w:rsid w:val="00707670"/>
    <w:rsid w:val="00712A82"/>
    <w:rsid w:val="0071304A"/>
    <w:rsid w:val="00720679"/>
    <w:rsid w:val="00722FF3"/>
    <w:rsid w:val="0072435C"/>
    <w:rsid w:val="007309CC"/>
    <w:rsid w:val="00734768"/>
    <w:rsid w:val="00736D37"/>
    <w:rsid w:val="007374E1"/>
    <w:rsid w:val="00745E33"/>
    <w:rsid w:val="00752EBB"/>
    <w:rsid w:val="00756B27"/>
    <w:rsid w:val="007639BC"/>
    <w:rsid w:val="00785C38"/>
    <w:rsid w:val="0078787E"/>
    <w:rsid w:val="00794410"/>
    <w:rsid w:val="007959B3"/>
    <w:rsid w:val="007A023D"/>
    <w:rsid w:val="007A1D5C"/>
    <w:rsid w:val="007C2555"/>
    <w:rsid w:val="007D348C"/>
    <w:rsid w:val="007D3B96"/>
    <w:rsid w:val="007D512C"/>
    <w:rsid w:val="007E0B06"/>
    <w:rsid w:val="007E59EC"/>
    <w:rsid w:val="007F1200"/>
    <w:rsid w:val="00802F36"/>
    <w:rsid w:val="0080650F"/>
    <w:rsid w:val="00806FC3"/>
    <w:rsid w:val="00817F77"/>
    <w:rsid w:val="00820411"/>
    <w:rsid w:val="00822888"/>
    <w:rsid w:val="00822AF1"/>
    <w:rsid w:val="00825591"/>
    <w:rsid w:val="00830B89"/>
    <w:rsid w:val="00831679"/>
    <w:rsid w:val="008373E1"/>
    <w:rsid w:val="00846A0E"/>
    <w:rsid w:val="00855C2E"/>
    <w:rsid w:val="008706BD"/>
    <w:rsid w:val="008738F8"/>
    <w:rsid w:val="00883A16"/>
    <w:rsid w:val="00887F78"/>
    <w:rsid w:val="008A2C73"/>
    <w:rsid w:val="008A7C16"/>
    <w:rsid w:val="008B19B4"/>
    <w:rsid w:val="008B4C0F"/>
    <w:rsid w:val="008C226D"/>
    <w:rsid w:val="008C5CB1"/>
    <w:rsid w:val="008D1AFA"/>
    <w:rsid w:val="008D3EF5"/>
    <w:rsid w:val="008E1776"/>
    <w:rsid w:val="008E44F4"/>
    <w:rsid w:val="008E66FC"/>
    <w:rsid w:val="008E7A85"/>
    <w:rsid w:val="008E7C1D"/>
    <w:rsid w:val="008E7CC4"/>
    <w:rsid w:val="008F2E4B"/>
    <w:rsid w:val="008F46C9"/>
    <w:rsid w:val="008F5EEA"/>
    <w:rsid w:val="008F6517"/>
    <w:rsid w:val="00903729"/>
    <w:rsid w:val="0090627D"/>
    <w:rsid w:val="00911CDC"/>
    <w:rsid w:val="00920CEC"/>
    <w:rsid w:val="00924D95"/>
    <w:rsid w:val="00935ECF"/>
    <w:rsid w:val="00936BA9"/>
    <w:rsid w:val="0094606C"/>
    <w:rsid w:val="00947E46"/>
    <w:rsid w:val="009543A2"/>
    <w:rsid w:val="00954D41"/>
    <w:rsid w:val="00965BEF"/>
    <w:rsid w:val="00973581"/>
    <w:rsid w:val="009754DB"/>
    <w:rsid w:val="00975E52"/>
    <w:rsid w:val="00977383"/>
    <w:rsid w:val="00987219"/>
    <w:rsid w:val="0099388D"/>
    <w:rsid w:val="00994186"/>
    <w:rsid w:val="009A0CA6"/>
    <w:rsid w:val="009A0D61"/>
    <w:rsid w:val="009A0FE3"/>
    <w:rsid w:val="009A36DA"/>
    <w:rsid w:val="009B0E39"/>
    <w:rsid w:val="009B0FC9"/>
    <w:rsid w:val="009B2DFF"/>
    <w:rsid w:val="009D63B9"/>
    <w:rsid w:val="009E37C3"/>
    <w:rsid w:val="009E3A7E"/>
    <w:rsid w:val="009F1141"/>
    <w:rsid w:val="009F7A15"/>
    <w:rsid w:val="00A00785"/>
    <w:rsid w:val="00A01F05"/>
    <w:rsid w:val="00A02186"/>
    <w:rsid w:val="00A07080"/>
    <w:rsid w:val="00A25535"/>
    <w:rsid w:val="00A266E8"/>
    <w:rsid w:val="00A61E47"/>
    <w:rsid w:val="00A64483"/>
    <w:rsid w:val="00A64E03"/>
    <w:rsid w:val="00A70127"/>
    <w:rsid w:val="00A7242E"/>
    <w:rsid w:val="00A72FF8"/>
    <w:rsid w:val="00A74591"/>
    <w:rsid w:val="00A834F8"/>
    <w:rsid w:val="00A87BBA"/>
    <w:rsid w:val="00A94382"/>
    <w:rsid w:val="00A9539C"/>
    <w:rsid w:val="00A977B7"/>
    <w:rsid w:val="00A97BDD"/>
    <w:rsid w:val="00AA21B0"/>
    <w:rsid w:val="00AA60FB"/>
    <w:rsid w:val="00AC21FE"/>
    <w:rsid w:val="00AD2905"/>
    <w:rsid w:val="00AD2C74"/>
    <w:rsid w:val="00AD662B"/>
    <w:rsid w:val="00AD7D3E"/>
    <w:rsid w:val="00AE1B3E"/>
    <w:rsid w:val="00AE2EBC"/>
    <w:rsid w:val="00AF2B2E"/>
    <w:rsid w:val="00B00EE3"/>
    <w:rsid w:val="00B01703"/>
    <w:rsid w:val="00B0722D"/>
    <w:rsid w:val="00B15969"/>
    <w:rsid w:val="00B30CAB"/>
    <w:rsid w:val="00B33FB8"/>
    <w:rsid w:val="00B358F1"/>
    <w:rsid w:val="00B464E5"/>
    <w:rsid w:val="00B471D8"/>
    <w:rsid w:val="00B506F1"/>
    <w:rsid w:val="00B52DFA"/>
    <w:rsid w:val="00B65EE5"/>
    <w:rsid w:val="00B67D6B"/>
    <w:rsid w:val="00B7347A"/>
    <w:rsid w:val="00B756E7"/>
    <w:rsid w:val="00B87357"/>
    <w:rsid w:val="00B9631E"/>
    <w:rsid w:val="00B96ACB"/>
    <w:rsid w:val="00BA2983"/>
    <w:rsid w:val="00BB2628"/>
    <w:rsid w:val="00BC0278"/>
    <w:rsid w:val="00BC0AE4"/>
    <w:rsid w:val="00BC4321"/>
    <w:rsid w:val="00BE3AFF"/>
    <w:rsid w:val="00BF1916"/>
    <w:rsid w:val="00BF29F4"/>
    <w:rsid w:val="00BF3BA2"/>
    <w:rsid w:val="00C00A21"/>
    <w:rsid w:val="00C01D1B"/>
    <w:rsid w:val="00C03E85"/>
    <w:rsid w:val="00C04A30"/>
    <w:rsid w:val="00C07851"/>
    <w:rsid w:val="00C10849"/>
    <w:rsid w:val="00C13659"/>
    <w:rsid w:val="00C14E9E"/>
    <w:rsid w:val="00C16A42"/>
    <w:rsid w:val="00C212F0"/>
    <w:rsid w:val="00C24E94"/>
    <w:rsid w:val="00C32681"/>
    <w:rsid w:val="00C34AFF"/>
    <w:rsid w:val="00C507EE"/>
    <w:rsid w:val="00C511C9"/>
    <w:rsid w:val="00C549C3"/>
    <w:rsid w:val="00C57EDB"/>
    <w:rsid w:val="00C60B24"/>
    <w:rsid w:val="00C63C35"/>
    <w:rsid w:val="00C66196"/>
    <w:rsid w:val="00C66AB3"/>
    <w:rsid w:val="00C7178B"/>
    <w:rsid w:val="00C7259B"/>
    <w:rsid w:val="00C8048A"/>
    <w:rsid w:val="00C92EB3"/>
    <w:rsid w:val="00CA3C72"/>
    <w:rsid w:val="00CA5CE2"/>
    <w:rsid w:val="00CA6E59"/>
    <w:rsid w:val="00CB1B22"/>
    <w:rsid w:val="00CB3425"/>
    <w:rsid w:val="00CB47F5"/>
    <w:rsid w:val="00CB4841"/>
    <w:rsid w:val="00CC1573"/>
    <w:rsid w:val="00CC2F66"/>
    <w:rsid w:val="00CC7C51"/>
    <w:rsid w:val="00CE2890"/>
    <w:rsid w:val="00CE48E1"/>
    <w:rsid w:val="00CE6280"/>
    <w:rsid w:val="00CF4412"/>
    <w:rsid w:val="00CF6660"/>
    <w:rsid w:val="00CF79AD"/>
    <w:rsid w:val="00D00F8F"/>
    <w:rsid w:val="00D1316D"/>
    <w:rsid w:val="00D23F95"/>
    <w:rsid w:val="00D35884"/>
    <w:rsid w:val="00D46AD0"/>
    <w:rsid w:val="00D617A8"/>
    <w:rsid w:val="00D666E0"/>
    <w:rsid w:val="00D70E0E"/>
    <w:rsid w:val="00D713FB"/>
    <w:rsid w:val="00D726A3"/>
    <w:rsid w:val="00D73C63"/>
    <w:rsid w:val="00D753ED"/>
    <w:rsid w:val="00D75D9B"/>
    <w:rsid w:val="00D763A0"/>
    <w:rsid w:val="00D81392"/>
    <w:rsid w:val="00D833B8"/>
    <w:rsid w:val="00D85CDC"/>
    <w:rsid w:val="00D9534D"/>
    <w:rsid w:val="00D97D61"/>
    <w:rsid w:val="00D97E1E"/>
    <w:rsid w:val="00DA0A68"/>
    <w:rsid w:val="00DA3CA3"/>
    <w:rsid w:val="00DD5873"/>
    <w:rsid w:val="00DE457A"/>
    <w:rsid w:val="00E079EC"/>
    <w:rsid w:val="00E120D6"/>
    <w:rsid w:val="00E20F4F"/>
    <w:rsid w:val="00E221FB"/>
    <w:rsid w:val="00E27054"/>
    <w:rsid w:val="00E32413"/>
    <w:rsid w:val="00E4021F"/>
    <w:rsid w:val="00E52075"/>
    <w:rsid w:val="00E56710"/>
    <w:rsid w:val="00E56BB9"/>
    <w:rsid w:val="00E61E67"/>
    <w:rsid w:val="00E67B07"/>
    <w:rsid w:val="00E722C3"/>
    <w:rsid w:val="00E74F1E"/>
    <w:rsid w:val="00E7518B"/>
    <w:rsid w:val="00E8095E"/>
    <w:rsid w:val="00E9025E"/>
    <w:rsid w:val="00E910EB"/>
    <w:rsid w:val="00E95188"/>
    <w:rsid w:val="00EA16E7"/>
    <w:rsid w:val="00EA2685"/>
    <w:rsid w:val="00EA3B2A"/>
    <w:rsid w:val="00EA6F5B"/>
    <w:rsid w:val="00EB68AE"/>
    <w:rsid w:val="00EC76FB"/>
    <w:rsid w:val="00ED674E"/>
    <w:rsid w:val="00EE320D"/>
    <w:rsid w:val="00F0331C"/>
    <w:rsid w:val="00F04E2D"/>
    <w:rsid w:val="00F04F3A"/>
    <w:rsid w:val="00F15ED6"/>
    <w:rsid w:val="00F266C6"/>
    <w:rsid w:val="00F31FFB"/>
    <w:rsid w:val="00F618B4"/>
    <w:rsid w:val="00F66D77"/>
    <w:rsid w:val="00F71266"/>
    <w:rsid w:val="00F713CE"/>
    <w:rsid w:val="00F73C8C"/>
    <w:rsid w:val="00F744C3"/>
    <w:rsid w:val="00F82139"/>
    <w:rsid w:val="00F87B9C"/>
    <w:rsid w:val="00F91A6C"/>
    <w:rsid w:val="00F96ED8"/>
    <w:rsid w:val="00FA64E9"/>
    <w:rsid w:val="00FA6B52"/>
    <w:rsid w:val="00FB4739"/>
    <w:rsid w:val="00FB6176"/>
    <w:rsid w:val="00FB7D42"/>
    <w:rsid w:val="00FD5985"/>
    <w:rsid w:val="00FE36C7"/>
    <w:rsid w:val="00FF2E1C"/>
    <w:rsid w:val="00FF526E"/>
    <w:rsid w:val="00FF613C"/>
    <w:rsid w:val="00FF67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76B39D"/>
  <w15:docId w15:val="{93FAEF43-BBB7-44C4-9D87-06BB30EA5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D617A8"/>
    <w:pPr>
      <w:spacing w:after="0" w:line="240" w:lineRule="auto"/>
    </w:pPr>
  </w:style>
  <w:style w:type="paragraph" w:styleId="Beschriftung">
    <w:name w:val="caption"/>
    <w:basedOn w:val="Standard"/>
    <w:next w:val="Standard"/>
    <w:uiPriority w:val="35"/>
    <w:unhideWhenUsed/>
    <w:qFormat/>
    <w:rsid w:val="00C66196"/>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AA21B0"/>
    <w:rPr>
      <w:color w:val="0563C1" w:themeColor="hyperlink"/>
      <w:u w:val="single"/>
    </w:rPr>
  </w:style>
  <w:style w:type="table" w:customStyle="1" w:styleId="Onopgemaaktetabel41">
    <w:name w:val="Onopgemaakte tabel 41"/>
    <w:basedOn w:val="NormaleTabelle"/>
    <w:uiPriority w:val="44"/>
    <w:rsid w:val="00AA21B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tzhaltertext">
    <w:name w:val="Placeholder Text"/>
    <w:basedOn w:val="Absatz-Standardschriftart"/>
    <w:uiPriority w:val="99"/>
    <w:semiHidden/>
    <w:rsid w:val="00E910EB"/>
    <w:rPr>
      <w:color w:val="808080"/>
    </w:rPr>
  </w:style>
  <w:style w:type="table" w:customStyle="1" w:styleId="Onopgemaaktetabel42">
    <w:name w:val="Onopgemaakte tabel 42"/>
    <w:basedOn w:val="NormaleTabelle"/>
    <w:uiPriority w:val="44"/>
    <w:rsid w:val="00B0170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D85CDC"/>
    <w:pPr>
      <w:spacing w:after="0" w:line="240" w:lineRule="auto"/>
      <w:ind w:left="720"/>
      <w:contextualSpacing/>
    </w:pPr>
  </w:style>
  <w:style w:type="paragraph" w:styleId="StandardWeb">
    <w:name w:val="Normal (Web)"/>
    <w:basedOn w:val="Standard"/>
    <w:uiPriority w:val="99"/>
    <w:unhideWhenUsed/>
    <w:rsid w:val="00D85CDC"/>
    <w:pPr>
      <w:spacing w:before="100" w:beforeAutospacing="1" w:after="100" w:afterAutospacing="1" w:line="240" w:lineRule="auto"/>
    </w:pPr>
    <w:rPr>
      <w:rFonts w:ascii="Times New Roman" w:eastAsiaTheme="minorEastAsia" w:hAnsi="Times New Roman" w:cs="Times New Roman"/>
      <w:sz w:val="24"/>
      <w:szCs w:val="24"/>
      <w:lang w:eastAsia="nl-NL"/>
    </w:rPr>
  </w:style>
  <w:style w:type="paragraph" w:styleId="Kopfzeile">
    <w:name w:val="header"/>
    <w:basedOn w:val="Standard"/>
    <w:link w:val="KopfzeileZchn"/>
    <w:uiPriority w:val="99"/>
    <w:unhideWhenUsed/>
    <w:rsid w:val="00920CE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0CEC"/>
  </w:style>
  <w:style w:type="paragraph" w:styleId="Fuzeile">
    <w:name w:val="footer"/>
    <w:basedOn w:val="Standard"/>
    <w:link w:val="FuzeileZchn"/>
    <w:uiPriority w:val="99"/>
    <w:unhideWhenUsed/>
    <w:rsid w:val="00920CE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0CEC"/>
  </w:style>
  <w:style w:type="paragraph" w:styleId="Sprechblasentext">
    <w:name w:val="Balloon Text"/>
    <w:basedOn w:val="Standard"/>
    <w:link w:val="SprechblasentextZchn"/>
    <w:uiPriority w:val="99"/>
    <w:semiHidden/>
    <w:unhideWhenUsed/>
    <w:rsid w:val="00B0722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722D"/>
    <w:rPr>
      <w:rFonts w:ascii="Tahoma" w:hAnsi="Tahoma" w:cs="Tahoma"/>
      <w:sz w:val="16"/>
      <w:szCs w:val="16"/>
    </w:rPr>
  </w:style>
  <w:style w:type="character" w:styleId="Kommentarzeichen">
    <w:name w:val="annotation reference"/>
    <w:basedOn w:val="Absatz-Standardschriftart"/>
    <w:uiPriority w:val="99"/>
    <w:semiHidden/>
    <w:unhideWhenUsed/>
    <w:rsid w:val="00B0722D"/>
    <w:rPr>
      <w:sz w:val="16"/>
      <w:szCs w:val="16"/>
    </w:rPr>
  </w:style>
  <w:style w:type="paragraph" w:styleId="Kommentartext">
    <w:name w:val="annotation text"/>
    <w:basedOn w:val="Standard"/>
    <w:link w:val="KommentartextZchn"/>
    <w:uiPriority w:val="99"/>
    <w:semiHidden/>
    <w:unhideWhenUsed/>
    <w:rsid w:val="00B0722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B0722D"/>
    <w:rPr>
      <w:sz w:val="20"/>
      <w:szCs w:val="20"/>
    </w:rPr>
  </w:style>
  <w:style w:type="paragraph" w:styleId="Kommentarthema">
    <w:name w:val="annotation subject"/>
    <w:basedOn w:val="Kommentartext"/>
    <w:next w:val="Kommentartext"/>
    <w:link w:val="KommentarthemaZchn"/>
    <w:uiPriority w:val="99"/>
    <w:semiHidden/>
    <w:unhideWhenUsed/>
    <w:rsid w:val="00B0722D"/>
    <w:rPr>
      <w:b/>
      <w:bCs/>
    </w:rPr>
  </w:style>
  <w:style w:type="character" w:customStyle="1" w:styleId="KommentarthemaZchn">
    <w:name w:val="Kommentarthema Zchn"/>
    <w:basedOn w:val="KommentartextZchn"/>
    <w:link w:val="Kommentarthema"/>
    <w:uiPriority w:val="99"/>
    <w:semiHidden/>
    <w:rsid w:val="00B072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339933">
      <w:bodyDiv w:val="1"/>
      <w:marLeft w:val="0"/>
      <w:marRight w:val="0"/>
      <w:marTop w:val="0"/>
      <w:marBottom w:val="0"/>
      <w:divBdr>
        <w:top w:val="none" w:sz="0" w:space="0" w:color="auto"/>
        <w:left w:val="none" w:sz="0" w:space="0" w:color="auto"/>
        <w:bottom w:val="none" w:sz="0" w:space="0" w:color="auto"/>
        <w:right w:val="none" w:sz="0" w:space="0" w:color="auto"/>
      </w:divBdr>
    </w:div>
    <w:div w:id="272446693">
      <w:bodyDiv w:val="1"/>
      <w:marLeft w:val="0"/>
      <w:marRight w:val="0"/>
      <w:marTop w:val="0"/>
      <w:marBottom w:val="0"/>
      <w:divBdr>
        <w:top w:val="none" w:sz="0" w:space="0" w:color="auto"/>
        <w:left w:val="none" w:sz="0" w:space="0" w:color="auto"/>
        <w:bottom w:val="none" w:sz="0" w:space="0" w:color="auto"/>
        <w:right w:val="none" w:sz="0" w:space="0" w:color="auto"/>
      </w:divBdr>
    </w:div>
    <w:div w:id="539175213">
      <w:bodyDiv w:val="1"/>
      <w:marLeft w:val="0"/>
      <w:marRight w:val="0"/>
      <w:marTop w:val="0"/>
      <w:marBottom w:val="0"/>
      <w:divBdr>
        <w:top w:val="none" w:sz="0" w:space="0" w:color="auto"/>
        <w:left w:val="none" w:sz="0" w:space="0" w:color="auto"/>
        <w:bottom w:val="none" w:sz="0" w:space="0" w:color="auto"/>
        <w:right w:val="none" w:sz="0" w:space="0" w:color="auto"/>
      </w:divBdr>
    </w:div>
    <w:div w:id="775903042">
      <w:bodyDiv w:val="1"/>
      <w:marLeft w:val="0"/>
      <w:marRight w:val="0"/>
      <w:marTop w:val="0"/>
      <w:marBottom w:val="0"/>
      <w:divBdr>
        <w:top w:val="none" w:sz="0" w:space="0" w:color="auto"/>
        <w:left w:val="none" w:sz="0" w:space="0" w:color="auto"/>
        <w:bottom w:val="none" w:sz="0" w:space="0" w:color="auto"/>
        <w:right w:val="none" w:sz="0" w:space="0" w:color="auto"/>
      </w:divBdr>
    </w:div>
    <w:div w:id="1023169025">
      <w:bodyDiv w:val="1"/>
      <w:marLeft w:val="0"/>
      <w:marRight w:val="0"/>
      <w:marTop w:val="0"/>
      <w:marBottom w:val="0"/>
      <w:divBdr>
        <w:top w:val="none" w:sz="0" w:space="0" w:color="auto"/>
        <w:left w:val="none" w:sz="0" w:space="0" w:color="auto"/>
        <w:bottom w:val="none" w:sz="0" w:space="0" w:color="auto"/>
        <w:right w:val="none" w:sz="0" w:space="0" w:color="auto"/>
      </w:divBdr>
    </w:div>
    <w:div w:id="168921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popupClassificationDetail(15)"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oleObject" Target="embeddings/oleObject1.bin"/><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6A59D-C64F-4D65-B8C5-EFBC57CBF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6553</Words>
  <Characters>41285</Characters>
  <Application>Microsoft Office Word</Application>
  <DocSecurity>0</DocSecurity>
  <Lines>344</Lines>
  <Paragraphs>95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C&amp;CZ</Company>
  <LinksUpToDate>false</LinksUpToDate>
  <CharactersWithSpaces>47743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Erik Dekker</dc:creator>
  <cp:lastModifiedBy>Moira Ledger</cp:lastModifiedBy>
  <cp:revision>5</cp:revision>
  <dcterms:created xsi:type="dcterms:W3CDTF">2019-06-16T13:20:00Z</dcterms:created>
  <dcterms:modified xsi:type="dcterms:W3CDTF">2019-06-16T13:29:00Z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1fa9a54e-d66f-3bbe-8a1f-fe8a79fd390b</vt:lpwstr>
  </property>
  <property fmtid="{D5CDD505-2E9C-101B-9397-08002B2CF9AE}" pid="4" name="Mendeley Citation Style_1">
    <vt:lpwstr>http://www.zotero.org/styles/the-international-journal-of-life-cycle-assessment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http://www.zotero.org/styles/the-international-journal-of-life-cycle-assessment</vt:lpwstr>
  </property>
  <property fmtid="{D5CDD505-2E9C-101B-9397-08002B2CF9AE}" pid="24" name="Mendeley Recent Style Name 9_1">
    <vt:lpwstr>The International Journal of Life Cycle Assessment</vt:lpwstr>
  </property>
</Properties>
</file>