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CED7C" w14:textId="6219A12C" w:rsidR="00257221" w:rsidRPr="00257221" w:rsidRDefault="00160CAC" w:rsidP="00257221">
      <w:pPr>
        <w:rPr>
          <w:b/>
          <w:bCs/>
        </w:rPr>
      </w:pPr>
      <w:r>
        <w:rPr>
          <w:b/>
          <w:bCs/>
        </w:rPr>
        <w:t>About Emmanuel questions</w:t>
      </w:r>
    </w:p>
    <w:p w14:paraId="0FAFA496" w14:textId="77777777" w:rsidR="00257221" w:rsidRPr="00257221" w:rsidRDefault="00257221" w:rsidP="00257221">
      <w:pPr>
        <w:rPr>
          <w:b/>
          <w:bCs/>
        </w:rPr>
      </w:pPr>
      <w:r w:rsidRPr="00257221">
        <w:rPr>
          <w:b/>
          <w:bCs/>
        </w:rPr>
        <w:t>1. Performance Gap Calculation &amp; Technical Boundaries</w:t>
      </w:r>
    </w:p>
    <w:p w14:paraId="6934D5D3" w14:textId="77777777" w:rsidR="00160CAC" w:rsidRDefault="00257221" w:rsidP="00257221">
      <w:r w:rsidRPr="00257221">
        <w:rPr>
          <w:b/>
          <w:bCs/>
        </w:rPr>
        <w:t>Issue:</w:t>
      </w:r>
      <w:r w:rsidRPr="00257221">
        <w:t xml:space="preserve"> The performance gap formula (δ</w:t>
      </w:r>
      <w:r w:rsidRPr="00257221">
        <w:rPr>
          <w:rFonts w:ascii="Arial" w:hAnsi="Arial" w:cs="Arial"/>
        </w:rPr>
        <w:t>ᵢ</w:t>
      </w:r>
      <w:r w:rsidRPr="00257221">
        <w:t xml:space="preserve"> = |x</w:t>
      </w:r>
      <w:r w:rsidRPr="00257221">
        <w:rPr>
          <w:rFonts w:ascii="Arial" w:hAnsi="Arial" w:cs="Arial"/>
        </w:rPr>
        <w:t>ᵢ</w:t>
      </w:r>
      <w:r w:rsidRPr="00257221">
        <w:t xml:space="preserve"> - x̄</w:t>
      </w:r>
      <w:r w:rsidRPr="00257221">
        <w:rPr>
          <w:rFonts w:ascii="Arial" w:hAnsi="Arial" w:cs="Arial"/>
        </w:rPr>
        <w:t>ᵢ</w:t>
      </w:r>
      <w:r w:rsidRPr="00257221">
        <w:t>| / x</w:t>
      </w:r>
      <w:r w:rsidRPr="00257221">
        <w:rPr>
          <w:rFonts w:ascii="Arial" w:hAnsi="Arial" w:cs="Arial"/>
        </w:rPr>
        <w:t>ᵢ</w:t>
      </w:r>
      <w:r w:rsidRPr="00257221">
        <w:t xml:space="preserve">) risks division-by-zero </w:t>
      </w:r>
    </w:p>
    <w:p w14:paraId="570413C9" w14:textId="03D11DDC" w:rsidR="00160CAC" w:rsidRDefault="00160CAC" w:rsidP="00160CAC">
      <w:pPr>
        <w:numPr>
          <w:ilvl w:val="0"/>
          <w:numId w:val="3"/>
        </w:numPr>
      </w:pPr>
      <w:r>
        <w:t>If x</w:t>
      </w:r>
      <w:r>
        <w:rPr>
          <w:rFonts w:ascii="Arial" w:hAnsi="Arial" w:cs="Arial"/>
        </w:rPr>
        <w:t>ᵢ</w:t>
      </w:r>
      <w:r>
        <w:t xml:space="preserve"> = 0, then δ</w:t>
      </w:r>
      <w:r>
        <w:rPr>
          <w:rFonts w:ascii="Arial" w:hAnsi="Arial" w:cs="Arial"/>
        </w:rPr>
        <w:t>ᵢ</w:t>
      </w:r>
      <w:r>
        <w:t xml:space="preserve"> = 1, meaning no vulnerability (</w:t>
      </w:r>
      <w:r>
        <w:t xml:space="preserve">if zero is the </w:t>
      </w:r>
      <w:r>
        <w:t>ideal performance).</w:t>
      </w:r>
    </w:p>
    <w:p w14:paraId="5277D9A4" w14:textId="64239A13" w:rsidR="00160CAC" w:rsidRDefault="00160CAC" w:rsidP="00160CAC">
      <w:pPr>
        <w:numPr>
          <w:ilvl w:val="0"/>
          <w:numId w:val="3"/>
        </w:numPr>
      </w:pPr>
      <w:r>
        <w:t>If x</w:t>
      </w:r>
      <w:r>
        <w:rPr>
          <w:rFonts w:ascii="Arial" w:hAnsi="Arial" w:cs="Arial"/>
        </w:rPr>
        <w:t>ᵢ</w:t>
      </w:r>
      <w:r>
        <w:t xml:space="preserve"> = 0, </w:t>
      </w:r>
      <w:r w:rsidR="00187552">
        <w:t xml:space="preserve">set </w:t>
      </w:r>
      <w:r w:rsidR="00187552">
        <w:t>x</w:t>
      </w:r>
      <w:r w:rsidR="00187552">
        <w:rPr>
          <w:rFonts w:ascii="Arial" w:hAnsi="Arial" w:cs="Arial"/>
        </w:rPr>
        <w:t>ᵢ</w:t>
      </w:r>
      <w:r w:rsidR="00187552">
        <w:t xml:space="preserve"> = 0</w:t>
      </w:r>
      <w:r w:rsidR="00187552">
        <w:t xml:space="preserve">.0001 </w:t>
      </w:r>
      <w:r w:rsidR="00187552">
        <w:t>(if zero is</w:t>
      </w:r>
      <w:r w:rsidR="00187552">
        <w:t xml:space="preserve"> not</w:t>
      </w:r>
      <w:r w:rsidR="00187552">
        <w:t xml:space="preserve"> the ideal performance)</w:t>
      </w:r>
      <w:r>
        <w:t>.</w:t>
      </w:r>
    </w:p>
    <w:p w14:paraId="432BB536" w14:textId="6F227684" w:rsidR="00257221" w:rsidRPr="00257221" w:rsidRDefault="00257221" w:rsidP="00257221">
      <w:pPr>
        <w:numPr>
          <w:ilvl w:val="0"/>
          <w:numId w:val="3"/>
        </w:numPr>
      </w:pPr>
    </w:p>
    <w:p w14:paraId="17A92440" w14:textId="77777777" w:rsidR="00257221" w:rsidRPr="00257221" w:rsidRDefault="00257221" w:rsidP="00257221">
      <w:pPr>
        <w:rPr>
          <w:b/>
          <w:bCs/>
        </w:rPr>
      </w:pPr>
      <w:r w:rsidRPr="00257221">
        <w:rPr>
          <w:b/>
          <w:bCs/>
        </w:rPr>
        <w:t>2. Sensitivity Parameter (α</w:t>
      </w:r>
      <w:r w:rsidRPr="00257221">
        <w:rPr>
          <w:rFonts w:ascii="Arial" w:hAnsi="Arial" w:cs="Arial"/>
          <w:b/>
          <w:bCs/>
        </w:rPr>
        <w:t>ᵢ</w:t>
      </w:r>
      <w:r w:rsidRPr="00257221">
        <w:rPr>
          <w:b/>
          <w:bCs/>
        </w:rPr>
        <w:t>) Calibration</w:t>
      </w:r>
    </w:p>
    <w:p w14:paraId="4EE07700" w14:textId="77777777" w:rsidR="00257221" w:rsidRPr="00257221" w:rsidRDefault="00257221" w:rsidP="00257221">
      <w:r w:rsidRPr="00257221">
        <w:rPr>
          <w:b/>
          <w:bCs/>
        </w:rPr>
        <w:t>Issue:</w:t>
      </w:r>
      <w:r w:rsidRPr="00257221">
        <w:t xml:space="preserve"> The parameter α</w:t>
      </w:r>
      <w:r w:rsidRPr="00257221">
        <w:rPr>
          <w:rFonts w:ascii="Arial" w:hAnsi="Arial" w:cs="Arial"/>
        </w:rPr>
        <w:t>ᵢ</w:t>
      </w:r>
      <w:r w:rsidRPr="00257221">
        <w:t xml:space="preserve"> governs resource-to-performance efficiency but requires calibration for different food system components.</w:t>
      </w:r>
    </w:p>
    <w:p w14:paraId="14422D58" w14:textId="77777777" w:rsidR="00257221" w:rsidRPr="00257221" w:rsidRDefault="00257221" w:rsidP="00257221">
      <w:r w:rsidRPr="00257221">
        <w:t>Using Elasticities for α</w:t>
      </w:r>
      <w:r w:rsidRPr="00257221">
        <w:rPr>
          <w:rFonts w:ascii="Arial" w:hAnsi="Arial" w:cs="Arial"/>
        </w:rPr>
        <w:t>ᵢ</w:t>
      </w:r>
      <w:r w:rsidRPr="00257221">
        <w:t xml:space="preserve"> Calibration</w:t>
      </w:r>
    </w:p>
    <w:p w14:paraId="49D2437D" w14:textId="77777777" w:rsidR="00257221" w:rsidRPr="00257221" w:rsidRDefault="00257221" w:rsidP="00257221">
      <w:r w:rsidRPr="00257221">
        <w:t>Elasticities provide a data-driven method to estimate α</w:t>
      </w:r>
      <w:r w:rsidRPr="00257221">
        <w:rPr>
          <w:rFonts w:ascii="Arial" w:hAnsi="Arial" w:cs="Arial"/>
        </w:rPr>
        <w:t>ᵢ</w:t>
      </w:r>
      <w:r w:rsidRPr="00257221">
        <w:t>, where:</w:t>
      </w:r>
    </w:p>
    <w:p w14:paraId="14C102EB" w14:textId="6AC10C42" w:rsidR="007571BF" w:rsidRDefault="00257221" w:rsidP="00257221">
      <w:r w:rsidRPr="00257221">
        <w:t>αi=%</w:t>
      </w:r>
      <w:proofErr w:type="spellStart"/>
      <w:r w:rsidRPr="00257221">
        <w:t>Δxi</w:t>
      </w:r>
      <w:proofErr w:type="spellEnd"/>
      <w:r w:rsidR="007571BF">
        <w:t>/</w:t>
      </w:r>
      <w:r w:rsidRPr="00257221">
        <w:t>%</w:t>
      </w:r>
      <w:proofErr w:type="spellStart"/>
      <w:r w:rsidRPr="00257221">
        <w:t>Δfi</w:t>
      </w:r>
      <w:proofErr w:type="spellEnd"/>
    </w:p>
    <w:p w14:paraId="536F0E1A" w14:textId="77777777" w:rsidR="00257221" w:rsidRPr="00257221" w:rsidRDefault="00257221" w:rsidP="00257221">
      <w:r w:rsidRPr="00257221">
        <w:t>where:</w:t>
      </w:r>
    </w:p>
    <w:p w14:paraId="667CECE2" w14:textId="3D6D39B7" w:rsidR="00257221" w:rsidRPr="00257221" w:rsidRDefault="00257221" w:rsidP="00257221">
      <w:pPr>
        <w:numPr>
          <w:ilvl w:val="0"/>
          <w:numId w:val="4"/>
        </w:numPr>
      </w:pPr>
      <w:r w:rsidRPr="00257221">
        <w:t>xi = observed performance (e.g., crop yields, distribution efficiency).</w:t>
      </w:r>
    </w:p>
    <w:p w14:paraId="61989A74" w14:textId="1B2EBACD" w:rsidR="00257221" w:rsidRPr="00257221" w:rsidRDefault="00257221" w:rsidP="00257221">
      <w:pPr>
        <w:numPr>
          <w:ilvl w:val="0"/>
          <w:numId w:val="4"/>
        </w:numPr>
      </w:pPr>
      <w:r w:rsidRPr="00257221">
        <w:t>fi = financial allocation.</w:t>
      </w:r>
    </w:p>
    <w:p w14:paraId="366A33C0" w14:textId="77777777" w:rsidR="00257221" w:rsidRPr="00257221" w:rsidRDefault="00257221" w:rsidP="00257221">
      <w:r w:rsidRPr="00257221">
        <w:t>This approach ensures:</w:t>
      </w:r>
    </w:p>
    <w:p w14:paraId="23501DE6" w14:textId="77777777" w:rsidR="00257221" w:rsidRPr="00257221" w:rsidRDefault="00257221" w:rsidP="00257221">
      <w:pPr>
        <w:numPr>
          <w:ilvl w:val="0"/>
          <w:numId w:val="5"/>
        </w:numPr>
      </w:pPr>
      <w:r w:rsidRPr="00257221">
        <w:t>Higher α</w:t>
      </w:r>
      <w:r w:rsidRPr="00257221">
        <w:rPr>
          <w:rFonts w:ascii="Arial" w:hAnsi="Arial" w:cs="Arial"/>
        </w:rPr>
        <w:t>ᵢ</w:t>
      </w:r>
      <w:r w:rsidRPr="00257221">
        <w:t xml:space="preserve"> values for components </w:t>
      </w:r>
      <w:proofErr w:type="gramStart"/>
      <w:r w:rsidRPr="00257221">
        <w:t>highly</w:t>
      </w:r>
      <w:proofErr w:type="gramEnd"/>
      <w:r w:rsidRPr="00257221">
        <w:t xml:space="preserve"> responsive to investment.</w:t>
      </w:r>
    </w:p>
    <w:p w14:paraId="5397CF87" w14:textId="77777777" w:rsidR="00257221" w:rsidRPr="00257221" w:rsidRDefault="00257221" w:rsidP="00257221">
      <w:pPr>
        <w:numPr>
          <w:ilvl w:val="0"/>
          <w:numId w:val="5"/>
        </w:numPr>
      </w:pPr>
      <w:r w:rsidRPr="00257221">
        <w:t>Lower α</w:t>
      </w:r>
      <w:r w:rsidRPr="00257221">
        <w:rPr>
          <w:rFonts w:ascii="Arial" w:hAnsi="Arial" w:cs="Arial"/>
        </w:rPr>
        <w:t>ᵢ</w:t>
      </w:r>
      <w:r w:rsidRPr="00257221">
        <w:t xml:space="preserve"> values where financial inputs have limited effects.</w:t>
      </w:r>
    </w:p>
    <w:p w14:paraId="206D0AC0" w14:textId="77777777" w:rsidR="00257221" w:rsidRPr="00257221" w:rsidRDefault="00257221" w:rsidP="00257221">
      <w:pPr>
        <w:rPr>
          <w:b/>
          <w:bCs/>
        </w:rPr>
      </w:pPr>
      <w:r w:rsidRPr="00257221">
        <w:rPr>
          <w:b/>
          <w:bCs/>
        </w:rPr>
        <w:t>3. Weight Assignment (ω</w:t>
      </w:r>
      <w:r w:rsidRPr="00257221">
        <w:rPr>
          <w:rFonts w:ascii="Arial" w:hAnsi="Arial" w:cs="Arial"/>
          <w:b/>
          <w:bCs/>
        </w:rPr>
        <w:t>ᵢ</w:t>
      </w:r>
      <w:r w:rsidRPr="00257221">
        <w:rPr>
          <w:b/>
          <w:bCs/>
        </w:rPr>
        <w:t>) Methodologies</w:t>
      </w:r>
    </w:p>
    <w:p w14:paraId="12421995" w14:textId="77777777" w:rsidR="00257221" w:rsidRPr="00257221" w:rsidRDefault="00257221" w:rsidP="00257221">
      <w:r w:rsidRPr="00257221">
        <w:rPr>
          <w:b/>
          <w:bCs/>
        </w:rPr>
        <w:t>Issue:</w:t>
      </w:r>
      <w:r w:rsidRPr="00257221">
        <w:t xml:space="preserve"> The FSFVI framework assigns weights based on criticality, but static weight assignments do not account for </w:t>
      </w:r>
      <w:proofErr w:type="gramStart"/>
      <w:r w:rsidRPr="00257221">
        <w:t>interdependencies</w:t>
      </w:r>
      <w:proofErr w:type="gramEnd"/>
      <w:r w:rsidRPr="00257221">
        <w:t>.</w:t>
      </w:r>
    </w:p>
    <w:p w14:paraId="720EA5D1" w14:textId="77777777" w:rsidR="00257221" w:rsidRPr="00257221" w:rsidRDefault="00257221" w:rsidP="00257221">
      <w:r w:rsidRPr="00257221">
        <w:t>Since real-world food systems are interconnected, expert-driven weighting methods can improve FSFVI accuracy:</w:t>
      </w:r>
    </w:p>
    <w:p w14:paraId="36FC2F46" w14:textId="77777777" w:rsidR="00257221" w:rsidRPr="00257221" w:rsidRDefault="00257221" w:rsidP="00257221">
      <w:pPr>
        <w:numPr>
          <w:ilvl w:val="0"/>
          <w:numId w:val="7"/>
        </w:numPr>
      </w:pPr>
      <w:r w:rsidRPr="00257221">
        <w:t>Delphi Method</w:t>
      </w:r>
    </w:p>
    <w:p w14:paraId="03AE5D16" w14:textId="77777777" w:rsidR="00257221" w:rsidRPr="00257221" w:rsidRDefault="00257221" w:rsidP="00257221">
      <w:pPr>
        <w:numPr>
          <w:ilvl w:val="1"/>
          <w:numId w:val="7"/>
        </w:numPr>
      </w:pPr>
      <w:r w:rsidRPr="00257221">
        <w:t>Experts iteratively rank component criticality.</w:t>
      </w:r>
    </w:p>
    <w:p w14:paraId="5335C180" w14:textId="77777777" w:rsidR="00257221" w:rsidRPr="00257221" w:rsidRDefault="00257221" w:rsidP="00257221">
      <w:pPr>
        <w:numPr>
          <w:ilvl w:val="1"/>
          <w:numId w:val="7"/>
        </w:numPr>
      </w:pPr>
      <w:r w:rsidRPr="00257221">
        <w:t>A consensus-based weighting system emerges.</w:t>
      </w:r>
    </w:p>
    <w:p w14:paraId="504D214B" w14:textId="77777777" w:rsidR="00257221" w:rsidRPr="00257221" w:rsidRDefault="00257221" w:rsidP="00257221">
      <w:pPr>
        <w:numPr>
          <w:ilvl w:val="0"/>
          <w:numId w:val="7"/>
        </w:numPr>
      </w:pPr>
      <w:r w:rsidRPr="00257221">
        <w:t>Analytic Hierarchy Process (AHP)</w:t>
      </w:r>
    </w:p>
    <w:p w14:paraId="3A031343" w14:textId="77777777" w:rsidR="00257221" w:rsidRPr="00257221" w:rsidRDefault="00257221" w:rsidP="00257221">
      <w:pPr>
        <w:numPr>
          <w:ilvl w:val="1"/>
          <w:numId w:val="7"/>
        </w:numPr>
      </w:pPr>
      <w:r w:rsidRPr="00257221">
        <w:t>Experts compare components in pairs (e.g., "Is production or distribution more critical?").</w:t>
      </w:r>
    </w:p>
    <w:p w14:paraId="2306C317" w14:textId="77777777" w:rsidR="00257221" w:rsidRPr="00257221" w:rsidRDefault="00257221" w:rsidP="00257221">
      <w:pPr>
        <w:numPr>
          <w:ilvl w:val="1"/>
          <w:numId w:val="7"/>
        </w:numPr>
      </w:pPr>
      <w:r w:rsidRPr="00257221">
        <w:t>Generates a hierarchical ranking of component importance.</w:t>
      </w:r>
    </w:p>
    <w:p w14:paraId="55770359" w14:textId="77777777" w:rsidR="00257221" w:rsidRPr="00257221" w:rsidRDefault="00257221" w:rsidP="00257221">
      <w:pPr>
        <w:numPr>
          <w:ilvl w:val="0"/>
          <w:numId w:val="7"/>
        </w:numPr>
      </w:pPr>
      <w:r w:rsidRPr="00257221">
        <w:lastRenderedPageBreak/>
        <w:t>Scenario-Based Weighting</w:t>
      </w:r>
    </w:p>
    <w:p w14:paraId="51C85DCC" w14:textId="77777777" w:rsidR="00257221" w:rsidRPr="00257221" w:rsidRDefault="00257221" w:rsidP="00257221">
      <w:pPr>
        <w:numPr>
          <w:ilvl w:val="1"/>
          <w:numId w:val="7"/>
        </w:numPr>
      </w:pPr>
      <w:r w:rsidRPr="00257221">
        <w:t>Experts assign weights based on stress scenarios (e.g., climate shocks, financial crises).</w:t>
      </w:r>
    </w:p>
    <w:p w14:paraId="0EC34D9A" w14:textId="77777777" w:rsidR="00257221" w:rsidRPr="00257221" w:rsidRDefault="00257221" w:rsidP="00257221">
      <w:pPr>
        <w:rPr>
          <w:i/>
          <w:iCs/>
        </w:rPr>
      </w:pPr>
      <w:r w:rsidRPr="00257221">
        <w:rPr>
          <w:i/>
          <w:iCs/>
        </w:rPr>
        <w:t>a) Have you developed metrics (e.g., network centrality scores) to dynamically adjust ω</w:t>
      </w:r>
      <w:r w:rsidRPr="00257221">
        <w:rPr>
          <w:rFonts w:ascii="Arial" w:hAnsi="Arial" w:cs="Arial"/>
          <w:i/>
          <w:iCs/>
        </w:rPr>
        <w:t>ᵢ</w:t>
      </w:r>
      <w:r w:rsidRPr="00257221">
        <w:rPr>
          <w:i/>
          <w:iCs/>
        </w:rPr>
        <w:t>?</w:t>
      </w:r>
    </w:p>
    <w:p w14:paraId="7584D566" w14:textId="77777777" w:rsidR="00257221" w:rsidRPr="00257221" w:rsidRDefault="00257221" w:rsidP="00257221">
      <w:r w:rsidRPr="00257221">
        <w:t>While FSFVI prioritizes financial vulnerability, integrating network centrality-based metrics (e.g., PageRank, Eigenvector centrality) could better capture systemic importance.</w:t>
      </w:r>
    </w:p>
    <w:p w14:paraId="03FB9CB3" w14:textId="77777777" w:rsidR="00257221" w:rsidRPr="00257221" w:rsidRDefault="00257221" w:rsidP="00257221">
      <w:pPr>
        <w:rPr>
          <w:i/>
          <w:iCs/>
        </w:rPr>
      </w:pPr>
      <w:proofErr w:type="gramStart"/>
      <w:r w:rsidRPr="00257221">
        <w:rPr>
          <w:i/>
          <w:iCs/>
        </w:rPr>
        <w:t>b) How</w:t>
      </w:r>
      <w:proofErr w:type="gramEnd"/>
      <w:r w:rsidRPr="00257221">
        <w:rPr>
          <w:i/>
          <w:iCs/>
        </w:rPr>
        <w:t xml:space="preserve"> should weights account for cascading failures?</w:t>
      </w:r>
    </w:p>
    <w:p w14:paraId="66B72F34" w14:textId="77777777" w:rsidR="00257221" w:rsidRPr="00257221" w:rsidRDefault="00257221" w:rsidP="00257221">
      <w:r w:rsidRPr="00257221">
        <w:t>Using a dependency matrix, weights can:</w:t>
      </w:r>
    </w:p>
    <w:p w14:paraId="1C9AD63A" w14:textId="77777777" w:rsidR="00257221" w:rsidRPr="00257221" w:rsidRDefault="00257221" w:rsidP="00257221">
      <w:pPr>
        <w:numPr>
          <w:ilvl w:val="0"/>
          <w:numId w:val="8"/>
        </w:numPr>
      </w:pPr>
      <w:r w:rsidRPr="00257221">
        <w:t>Increase for components whose failure causes systemic collapse.</w:t>
      </w:r>
    </w:p>
    <w:p w14:paraId="7B193DF7" w14:textId="77777777" w:rsidR="00257221" w:rsidRPr="00257221" w:rsidRDefault="00257221" w:rsidP="00257221">
      <w:pPr>
        <w:numPr>
          <w:ilvl w:val="0"/>
          <w:numId w:val="8"/>
        </w:numPr>
      </w:pPr>
      <w:r w:rsidRPr="00257221">
        <w:t>Adjust dynamically based on real-time interdependency data.</w:t>
      </w:r>
    </w:p>
    <w:p w14:paraId="36316CC8" w14:textId="77777777" w:rsidR="00257221" w:rsidRPr="00257221" w:rsidRDefault="00257221" w:rsidP="00257221">
      <w:pPr>
        <w:rPr>
          <w:b/>
          <w:bCs/>
        </w:rPr>
      </w:pPr>
      <w:r w:rsidRPr="00257221">
        <w:rPr>
          <w:b/>
          <w:bCs/>
        </w:rPr>
        <w:t>4. Real-Time Monitoring Intervals</w:t>
      </w:r>
    </w:p>
    <w:p w14:paraId="2126F28D" w14:textId="77777777" w:rsidR="00257221" w:rsidRPr="00257221" w:rsidRDefault="00257221" w:rsidP="00257221">
      <w:r w:rsidRPr="00257221">
        <w:rPr>
          <w:b/>
          <w:bCs/>
        </w:rPr>
        <w:t>Issue:</w:t>
      </w:r>
      <w:r w:rsidRPr="00257221">
        <w:t xml:space="preserve"> The FSFVI requires dynamic updates, but not all components need the same frequency.</w:t>
      </w:r>
    </w:p>
    <w:p w14:paraId="6E33C00B" w14:textId="77777777" w:rsidR="00257221" w:rsidRPr="00257221" w:rsidRDefault="00257221" w:rsidP="00257221">
      <w:r w:rsidRPr="00257221">
        <w:t>Optimal Monitoring Intervals</w:t>
      </w:r>
    </w:p>
    <w:p w14:paraId="525B685F" w14:textId="77777777" w:rsidR="00257221" w:rsidRPr="00257221" w:rsidRDefault="00257221" w:rsidP="00257221">
      <w:pPr>
        <w:numPr>
          <w:ilvl w:val="0"/>
          <w:numId w:val="9"/>
        </w:numPr>
      </w:pPr>
      <w:r w:rsidRPr="00257221">
        <w:t>High-volatility components (e.g., retail prices, market supply) → Hourly/Daily.</w:t>
      </w:r>
    </w:p>
    <w:p w14:paraId="17BFE074" w14:textId="77777777" w:rsidR="00257221" w:rsidRPr="00257221" w:rsidRDefault="00257221" w:rsidP="00257221">
      <w:pPr>
        <w:numPr>
          <w:ilvl w:val="0"/>
          <w:numId w:val="9"/>
        </w:numPr>
      </w:pPr>
      <w:r w:rsidRPr="00257221">
        <w:t>Medium-</w:t>
      </w:r>
      <w:proofErr w:type="gramStart"/>
      <w:r w:rsidRPr="00257221">
        <w:t>volatility</w:t>
      </w:r>
      <w:proofErr w:type="gramEnd"/>
      <w:r w:rsidRPr="00257221">
        <w:t xml:space="preserve"> components (e.g., food storage, logistics) → Weekly.</w:t>
      </w:r>
    </w:p>
    <w:p w14:paraId="371270BF" w14:textId="77777777" w:rsidR="00257221" w:rsidRPr="00257221" w:rsidRDefault="00257221" w:rsidP="00257221">
      <w:pPr>
        <w:numPr>
          <w:ilvl w:val="0"/>
          <w:numId w:val="9"/>
        </w:numPr>
      </w:pPr>
      <w:r w:rsidRPr="00257221">
        <w:t>Low-</w:t>
      </w:r>
      <w:proofErr w:type="gramStart"/>
      <w:r w:rsidRPr="00257221">
        <w:t>volatility</w:t>
      </w:r>
      <w:proofErr w:type="gramEnd"/>
      <w:r w:rsidRPr="00257221">
        <w:t xml:space="preserve"> components (e.g., infrastructure resilience) → Monthly.</w:t>
      </w:r>
    </w:p>
    <w:p w14:paraId="597C287A" w14:textId="77777777" w:rsidR="00257221" w:rsidRPr="00257221" w:rsidRDefault="00257221" w:rsidP="00257221">
      <w:r w:rsidRPr="00257221">
        <w:t>a) Should high-</w:t>
      </w:r>
      <w:proofErr w:type="gramStart"/>
      <w:r w:rsidRPr="00257221">
        <w:t>volatility</w:t>
      </w:r>
      <w:proofErr w:type="gramEnd"/>
      <w:r w:rsidRPr="00257221">
        <w:t xml:space="preserve"> components update more frequently?</w:t>
      </w:r>
    </w:p>
    <w:p w14:paraId="0B29A90A" w14:textId="77777777" w:rsidR="00257221" w:rsidRPr="00257221" w:rsidRDefault="00257221" w:rsidP="00257221">
      <w:r w:rsidRPr="00257221">
        <w:t>Yes, real-time monitoring of price fluctuations and supply chains is critical.</w:t>
      </w:r>
    </w:p>
    <w:p w14:paraId="7A3BB3EE" w14:textId="77777777" w:rsidR="00257221" w:rsidRPr="00257221" w:rsidRDefault="00257221" w:rsidP="00257221">
      <w:pPr>
        <w:rPr>
          <w:b/>
          <w:bCs/>
        </w:rPr>
      </w:pPr>
      <w:r w:rsidRPr="00257221">
        <w:rPr>
          <w:b/>
          <w:bCs/>
        </w:rPr>
        <w:t>5. Threshold Flexibility &amp; Contextualization</w:t>
      </w:r>
    </w:p>
    <w:p w14:paraId="5F72A7EC" w14:textId="77777777" w:rsidR="00257221" w:rsidRPr="00257221" w:rsidRDefault="00257221" w:rsidP="00257221">
      <w:r w:rsidRPr="00257221">
        <w:rPr>
          <w:b/>
          <w:bCs/>
        </w:rPr>
        <w:t>Issue:</w:t>
      </w:r>
      <w:r w:rsidRPr="00257221">
        <w:t xml:space="preserve"> Fixed FSFVI thresholds may not reflect regional disparities.</w:t>
      </w:r>
    </w:p>
    <w:p w14:paraId="76DB3373" w14:textId="150152A1" w:rsidR="00257221" w:rsidRPr="00257221" w:rsidRDefault="00257221" w:rsidP="00257221">
      <w:pPr>
        <w:numPr>
          <w:ilvl w:val="0"/>
          <w:numId w:val="11"/>
        </w:numPr>
      </w:pPr>
      <w:r w:rsidRPr="00257221">
        <w:t xml:space="preserve">Contextualized thresholds </w:t>
      </w:r>
      <w:r w:rsidR="00187552">
        <w:t>may be adjusted</w:t>
      </w:r>
      <w:r w:rsidRPr="00257221">
        <w:t>.</w:t>
      </w:r>
    </w:p>
    <w:p w14:paraId="0E6AC36B" w14:textId="77777777" w:rsidR="00257221" w:rsidRPr="00257221" w:rsidRDefault="00257221" w:rsidP="00257221">
      <w:pPr>
        <w:rPr>
          <w:b/>
          <w:bCs/>
        </w:rPr>
      </w:pPr>
      <w:r w:rsidRPr="00257221">
        <w:rPr>
          <w:b/>
          <w:bCs/>
        </w:rPr>
        <w:t>6. Optimization Trade-Offs</w:t>
      </w:r>
    </w:p>
    <w:p w14:paraId="30D7A70E" w14:textId="77777777" w:rsidR="00257221" w:rsidRPr="00257221" w:rsidRDefault="00257221" w:rsidP="00257221">
      <w:r w:rsidRPr="00257221">
        <w:rPr>
          <w:b/>
          <w:bCs/>
        </w:rPr>
        <w:t>Issue:</w:t>
      </w:r>
      <w:r w:rsidRPr="00257221">
        <w:t xml:space="preserve"> The prioritization rule (f</w:t>
      </w:r>
      <w:r w:rsidRPr="00257221">
        <w:rPr>
          <w:rFonts w:ascii="Arial" w:hAnsi="Arial" w:cs="Arial"/>
        </w:rPr>
        <w:t>ᵢ</w:t>
      </w:r>
      <w:r w:rsidRPr="00257221">
        <w:t xml:space="preserve"> ≥ f</w:t>
      </w:r>
      <w:r w:rsidRPr="00257221">
        <w:rPr>
          <w:rFonts w:ascii="Arial" w:hAnsi="Arial" w:cs="Arial"/>
        </w:rPr>
        <w:t>ⱼ</w:t>
      </w:r>
      <w:r w:rsidRPr="00257221">
        <w:t xml:space="preserve"> if </w:t>
      </w:r>
      <w:r w:rsidRPr="00257221">
        <w:rPr>
          <w:rFonts w:ascii="Aptos" w:hAnsi="Aptos" w:cs="Aptos"/>
        </w:rPr>
        <w:t>δ</w:t>
      </w:r>
      <w:r w:rsidRPr="00257221">
        <w:rPr>
          <w:rFonts w:ascii="Arial" w:hAnsi="Arial" w:cs="Arial"/>
        </w:rPr>
        <w:t>ᵢ</w:t>
      </w:r>
      <w:r w:rsidRPr="00257221">
        <w:t xml:space="preserve"> ≥ δ</w:t>
      </w:r>
      <w:r w:rsidRPr="00257221">
        <w:rPr>
          <w:rFonts w:ascii="Arial" w:hAnsi="Arial" w:cs="Arial"/>
        </w:rPr>
        <w:t>ⱼ</w:t>
      </w:r>
      <w:r w:rsidRPr="00257221">
        <w:t>) may conflict with minimizing overall system vulnerability.</w:t>
      </w:r>
    </w:p>
    <w:p w14:paraId="4D9DBBFF" w14:textId="77777777" w:rsidR="00257221" w:rsidRPr="00257221" w:rsidRDefault="00257221" w:rsidP="00257221">
      <w:pPr>
        <w:numPr>
          <w:ilvl w:val="0"/>
          <w:numId w:val="12"/>
        </w:numPr>
      </w:pPr>
      <w:r w:rsidRPr="00257221">
        <w:t>A strict δ</w:t>
      </w:r>
      <w:r w:rsidRPr="00257221">
        <w:rPr>
          <w:rFonts w:ascii="Arial" w:hAnsi="Arial" w:cs="Arial"/>
        </w:rPr>
        <w:t>ᵢ</w:t>
      </w:r>
      <w:r w:rsidRPr="00257221">
        <w:t>-driven prioritization may not minimize overall FSFVI.</w:t>
      </w:r>
    </w:p>
    <w:p w14:paraId="374209AB" w14:textId="77777777" w:rsidR="00257221" w:rsidRPr="00257221" w:rsidRDefault="00257221" w:rsidP="00257221">
      <w:pPr>
        <w:numPr>
          <w:ilvl w:val="0"/>
          <w:numId w:val="12"/>
        </w:numPr>
      </w:pPr>
      <w:r w:rsidRPr="00257221">
        <w:t>Allowing controlled deviations (e.g., if FSFVI improves by ≥ 5–10%) enhances resilience.</w:t>
      </w:r>
    </w:p>
    <w:p w14:paraId="05B176CC" w14:textId="77777777" w:rsidR="00257221" w:rsidRPr="00257221" w:rsidRDefault="00257221" w:rsidP="00257221">
      <w:r w:rsidRPr="00257221">
        <w:t>Yes, controlled FSFVI optimization should balance localized vs. systemic vulnerability.</w:t>
      </w:r>
    </w:p>
    <w:p w14:paraId="098C8072" w14:textId="77777777" w:rsidR="00257221" w:rsidRPr="00257221" w:rsidRDefault="00257221" w:rsidP="00257221">
      <w:pPr>
        <w:rPr>
          <w:b/>
          <w:bCs/>
        </w:rPr>
      </w:pPr>
      <w:r w:rsidRPr="00257221">
        <w:rPr>
          <w:b/>
          <w:bCs/>
        </w:rPr>
        <w:t>7. Non-Financial Data Integration</w:t>
      </w:r>
    </w:p>
    <w:p w14:paraId="6E285D32" w14:textId="77777777" w:rsidR="00257221" w:rsidRPr="00257221" w:rsidRDefault="00257221" w:rsidP="00257221">
      <w:r w:rsidRPr="00257221">
        <w:rPr>
          <w:b/>
          <w:bCs/>
        </w:rPr>
        <w:t>Issue:</w:t>
      </w:r>
      <w:r w:rsidRPr="00257221">
        <w:t xml:space="preserve"> The FSFVI focuses on financial vulnerability, but other factors (e.g., climate and social metrics) affect system resilience.</w:t>
      </w:r>
    </w:p>
    <w:p w14:paraId="16FB3FCD" w14:textId="0607E7A5" w:rsidR="00257221" w:rsidRPr="00257221" w:rsidRDefault="00257221" w:rsidP="00257221">
      <w:pPr>
        <w:numPr>
          <w:ilvl w:val="0"/>
          <w:numId w:val="13"/>
        </w:numPr>
      </w:pPr>
      <w:r w:rsidRPr="00257221">
        <w:rPr>
          <w:b/>
          <w:bCs/>
        </w:rPr>
        <w:lastRenderedPageBreak/>
        <w:t>Machine learning models</w:t>
      </w:r>
      <w:r w:rsidRPr="00257221">
        <w:t xml:space="preserve"> could combine </w:t>
      </w:r>
      <w:r w:rsidRPr="00257221">
        <w:rPr>
          <w:b/>
          <w:bCs/>
        </w:rPr>
        <w:t>financial + climate/social data</w:t>
      </w:r>
      <w:r w:rsidRPr="00257221">
        <w:t>.</w:t>
      </w:r>
      <w:r w:rsidR="003F03DE">
        <w:t xml:space="preserve"> Let’s keep this for further refinement</w:t>
      </w:r>
    </w:p>
    <w:p w14:paraId="519E4DC2" w14:textId="77777777" w:rsidR="00257221" w:rsidRDefault="00257221"/>
    <w:sectPr w:rsidR="0025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5DDA"/>
    <w:multiLevelType w:val="multilevel"/>
    <w:tmpl w:val="898C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3F0A"/>
    <w:multiLevelType w:val="multilevel"/>
    <w:tmpl w:val="665A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66D2"/>
    <w:multiLevelType w:val="multilevel"/>
    <w:tmpl w:val="B758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17364"/>
    <w:multiLevelType w:val="multilevel"/>
    <w:tmpl w:val="1ED0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8156B"/>
    <w:multiLevelType w:val="multilevel"/>
    <w:tmpl w:val="B406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B6C76"/>
    <w:multiLevelType w:val="multilevel"/>
    <w:tmpl w:val="6578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23811"/>
    <w:multiLevelType w:val="multilevel"/>
    <w:tmpl w:val="64F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80F71"/>
    <w:multiLevelType w:val="multilevel"/>
    <w:tmpl w:val="3F7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E4E4D"/>
    <w:multiLevelType w:val="multilevel"/>
    <w:tmpl w:val="5A6A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D3411"/>
    <w:multiLevelType w:val="multilevel"/>
    <w:tmpl w:val="620C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D03B4"/>
    <w:multiLevelType w:val="multilevel"/>
    <w:tmpl w:val="D9CC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F6980"/>
    <w:multiLevelType w:val="multilevel"/>
    <w:tmpl w:val="57A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B561D"/>
    <w:multiLevelType w:val="multilevel"/>
    <w:tmpl w:val="B15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05D24"/>
    <w:multiLevelType w:val="multilevel"/>
    <w:tmpl w:val="DED4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6045C"/>
    <w:multiLevelType w:val="multilevel"/>
    <w:tmpl w:val="DEAE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67FB8"/>
    <w:multiLevelType w:val="multilevel"/>
    <w:tmpl w:val="F280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152451">
    <w:abstractNumId w:val="4"/>
  </w:num>
  <w:num w:numId="2" w16cid:durableId="587153995">
    <w:abstractNumId w:val="12"/>
  </w:num>
  <w:num w:numId="3" w16cid:durableId="737359278">
    <w:abstractNumId w:val="13"/>
  </w:num>
  <w:num w:numId="4" w16cid:durableId="492532040">
    <w:abstractNumId w:val="2"/>
  </w:num>
  <w:num w:numId="5" w16cid:durableId="1580209018">
    <w:abstractNumId w:val="8"/>
  </w:num>
  <w:num w:numId="6" w16cid:durableId="780421914">
    <w:abstractNumId w:val="11"/>
  </w:num>
  <w:num w:numId="7" w16cid:durableId="214898218">
    <w:abstractNumId w:val="10"/>
  </w:num>
  <w:num w:numId="8" w16cid:durableId="1443375941">
    <w:abstractNumId w:val="14"/>
  </w:num>
  <w:num w:numId="9" w16cid:durableId="750079981">
    <w:abstractNumId w:val="6"/>
  </w:num>
  <w:num w:numId="10" w16cid:durableId="786242502">
    <w:abstractNumId w:val="0"/>
  </w:num>
  <w:num w:numId="11" w16cid:durableId="1354190096">
    <w:abstractNumId w:val="7"/>
  </w:num>
  <w:num w:numId="12" w16cid:durableId="706761675">
    <w:abstractNumId w:val="5"/>
  </w:num>
  <w:num w:numId="13" w16cid:durableId="294262301">
    <w:abstractNumId w:val="9"/>
  </w:num>
  <w:num w:numId="14" w16cid:durableId="1724325962">
    <w:abstractNumId w:val="1"/>
  </w:num>
  <w:num w:numId="15" w16cid:durableId="1017729000">
    <w:abstractNumId w:val="15"/>
  </w:num>
  <w:num w:numId="16" w16cid:durableId="2008481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21"/>
    <w:rsid w:val="0007396D"/>
    <w:rsid w:val="00160CAC"/>
    <w:rsid w:val="00187552"/>
    <w:rsid w:val="001E1EEF"/>
    <w:rsid w:val="00257221"/>
    <w:rsid w:val="003F03DE"/>
    <w:rsid w:val="004422FD"/>
    <w:rsid w:val="0045569C"/>
    <w:rsid w:val="00505C35"/>
    <w:rsid w:val="007571BF"/>
    <w:rsid w:val="00805A8C"/>
    <w:rsid w:val="00C4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A699"/>
  <w15:chartTrackingRefBased/>
  <w15:docId w15:val="{D8C61CCD-5E2D-4037-9E5F-121FE8F1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5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0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9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6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452</Words>
  <Characters>2908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Ulimwengu, John (IFPRI)</dc:creator>
  <cp:keywords/>
  <dc:description/>
  <cp:lastModifiedBy>Ulimwengu, John (IFPRI)</cp:lastModifiedBy>
  <cp:revision>1</cp:revision>
  <dcterms:created xsi:type="dcterms:W3CDTF">2025-02-27T14:48:00Z</dcterms:created>
  <dcterms:modified xsi:type="dcterms:W3CDTF">2025-02-28T00:42:00Z</dcterms:modified>
</cp:coreProperties>
</file>