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single" w:sz="12" w:color="1D3557"/>
          <w:left w:val="single" w:sz="12" w:color="1D3557"/>
          <w:bottom w:val="single" w:sz="12" w:color="1D3557"/>
          <w:right w:val="single" w:sz="12" w:color="1D3557"/>
          <w:insideH w:val="single" w:sz="12" w:color="1D3557"/>
          <w:insideV w:val="single" w:sz="12" w:color="1D3557"/>
        </w:tblBorders>
        <w:tblLayout w:type="fixed"/>
        <w:tblW w:w="10546" w:type="dxa"/>
      </w:tblPr>
      <w:tblGrid>
        <w:gridCol w:w="7938"/>
        <w:gridCol w:w="2608"/>
      </w:tblGrid>
      <w:tr>
        <w:tc>
          <w:tcPr>
            <w:tcW w:type="dxa" w:w="7937"/>
            <w:vAlign w:val="center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A84400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24418C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1D3557"/>
                <w:sz w:val="32"/>
              </w:rPr>
              <w:t xml:space="preserve">  Мугалим үчүн: топтомду кантип колдонобуз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right"/>
            </w:pPr>
            <w:r>
              <w:rPr>
                <w:rFonts w:ascii="Golos Text" w:hAnsi="Golos Text" w:cs="Golos Text" w:eastAsia="Golos Text"/>
                <w:b w:val="0"/>
                <w:color w:val="4A5A70"/>
                <w:sz w:val="17"/>
              </w:rPr>
              <w:t>Статистика › Төрт өлчөм</w:t>
            </w:r>
          </w:p>
        </w:tc>
      </w:tr>
    </w:tbl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21"/>
        </w:rPr>
        <w:t>Бул топтом — MathKG ыкмасы боюнча бир теманын толук үлгүсү: 45 мүнөттүк сабак, беш иш барак, шаблондон беш иш-аракет жана сабакты изилдөө топтому. Ар бир барактын жооптору — ошол эле барак, толтурулган. Бардык маалымат окутуу үчүн ойлоп табылган, бардык сандар программа менен текшерилген.</w:t>
      </w: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154"/>
        <w:gridCol w:w="2608"/>
        <w:gridCol w:w="1134"/>
        <w:gridCol w:w="4649"/>
      </w:tblGrid>
      <w:tr>
        <w:trPr>
          <w:cantSplit/>
        </w:trPr>
        <w:tc>
          <w:tcPr>
            <w:tcW w:type="dxa" w:w="21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Материал</w:t>
            </w:r>
          </w:p>
        </w:tc>
        <w:tc>
          <w:tcPr>
            <w:tcW w:type="dxa" w:w="260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Качан</w:t>
            </w:r>
          </w:p>
        </w:tc>
        <w:tc>
          <w:tcPr>
            <w:tcW w:type="dxa" w:w="113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Убакыт</w:t>
            </w:r>
          </w:p>
        </w:tc>
        <w:tc>
          <w:tcPr>
            <w:tcW w:type="dxa" w:w="464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Эмне үчүн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Презентация (27 слайд)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1-сабак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45 мүн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Маселе → ыкмалар → жыйынтык тактасы. Эскертмеде мугалимдин сөздөрү, күтүлгөн жооптор, өзүн текшерүү суроолору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Ооба… Жок… Балким…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1-сабак, 8-слайд; 2-сабакта толугу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2,5–7 мүн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Ырастоо + далил: окуучу «анткени…» деп негиздейт. 7 ырастоо, эскертмеде жооптор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Кенч издөө (16 плакат)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1-сабак, 17-слайд; жупта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5 мүн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Ар бир жооп кийинки плакатты көрсөтөт: туура эмес жооп жок плакатка алып барат — окуучу өзүн өзү текшерет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Көрсөт…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1-сабак, 20-слайд; мини такталар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1,5–5 мүн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Ачык суроолор: жооп бирөө эмес, ар бир окуучу өз мисалын түзөт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Блокбастер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2-сабак, эки команда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15 мүн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25 суроо тактада; тамганы бассаң суроо ачылат, «Жооп» жоопту көрсөтөт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Кадам-кадам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1-сабактан кийин үйгө же кыйналган окуучуларга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15–20 мүн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Колдоо акырындап азаят: үлгү → жуптар → вариация → артка ойлон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Кодду ач (оюн)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2-сабак, жупта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20 мүн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Упайлар жана деңгээлдер. Сөз маанисиз чыкса — ката бар: окуучу өзүн өзү текшерет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Карточкаларды ирге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2-сабак, 2–3 окуучудан топ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15–20 мүн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Талкуу: кайсы өлчөм качан? Эки ашыкча карточка жаңылыштыкты көрсөтөт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Туура/туура эмес лабиринт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2-сабак, жеке же жупта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10 мүн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Ар бир ырастоо туура же туура эмес: туура тандоо гана чыгууга алып барат. Бир баракта 2 нуска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Бекемдөө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3-сабак, үй иши же текшерүү алдында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25–30 мүн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Аралаш: төрт өлчөм, кайсы өлчөм, артка ойлон, ар дайым/кээде/эч качан, маселе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Сабакты изилдөө топтому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Сабактан мурун, сабакта, сабактан кийин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—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План, байкоо барагы, талкуу жана версия журналы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007A5A"/>
          <w:left w:val="single" w:sz="10" w:color="007A5A"/>
          <w:bottom w:val="single" w:sz="10" w:color="007A5A"/>
          <w:right w:val="single" w:sz="10" w:color="007A5A"/>
          <w:insideH w:val="single" w:sz="10" w:color="007A5A"/>
          <w:insideV w:val="single" w:sz="10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24"/>
              </w:rPr>
              <w:t>Үч сабакка сунуш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1474"/>
        <w:gridCol w:w="9072"/>
      </w:tblGrid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1-сабак</w:t>
            </w:r>
          </w:p>
        </w:tc>
        <w:tc>
          <w:tcPr>
            <w:tcW w:type="dxa" w:w="9071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Презентация (45 мүн). Үй иши — 25-слайд же «Кадам-кадам» барагы.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2-сабак</w:t>
            </w:r>
          </w:p>
        </w:tc>
        <w:tc>
          <w:tcPr>
            <w:tcW w:type="dxa" w:w="9071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5 мүн: жыйынтык тактасын эске салуу → 15 мүн: «Блокбастер» → 10 мүн: лабиринт → 15 мүн: «Карточкаларды ирге». Үй иши: «Кодду ач».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3-сабак</w:t>
            </w:r>
          </w:p>
        </w:tc>
        <w:tc>
          <w:tcPr>
            <w:tcW w:type="dxa" w:w="9071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10 мүн: «Ооба… Жок… Балким…» калган ырастоолор → 30 мүн: «Бекемдөө» → 5 мүн: чыгуу билети. Эрте бүткөндөр: «Кодду ач» бонус суроосу.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Ар бир баракта бирдей тартип</w:t>
            </w:r>
          </w:p>
        </w:tc>
      </w:tr>
    </w:tbl>
    <w:p>
      <w:pPr>
        <w:spacing w:after="40" w:before="0" w:line="264" w:lineRule="auto"/>
      </w:pPr>
      <w:r>
        <w:rPr>
          <w:rFonts w:ascii="Golos Text" w:hAnsi="Golos Text" w:cs="Golos Text" w:eastAsia="Golos Text"/>
          <w:b/>
          <w:color w:val="1D3557"/>
          <w:sz w:val="21"/>
        </w:rPr>
        <w:t>Эске сал</w:t>
      </w:r>
      <w:r>
        <w:rPr>
          <w:rFonts w:ascii="Golos Text" w:hAnsi="Golos Text" w:cs="Golos Text" w:eastAsia="Golos Text"/>
          <w:b w:val="0"/>
          <w:color w:val="1D3557"/>
          <w:sz w:val="21"/>
        </w:rPr>
        <w:t xml:space="preserve"> → </w:t>
      </w:r>
      <w:r>
        <w:rPr>
          <w:rFonts w:ascii="Golos Text" w:hAnsi="Golos Text" w:cs="Golos Text" w:eastAsia="Golos Text"/>
          <w:b/>
          <w:color w:val="1D3557"/>
          <w:sz w:val="21"/>
        </w:rPr>
        <w:t>үлгү</w:t>
      </w:r>
      <w:r>
        <w:rPr>
          <w:rFonts w:ascii="Golos Text" w:hAnsi="Golos Text" w:cs="Golos Text" w:eastAsia="Golos Text"/>
          <w:b w:val="0"/>
          <w:color w:val="1D3557"/>
          <w:sz w:val="21"/>
        </w:rPr>
        <w:t xml:space="preserve"> жана «Эмне үчүн?» → </w:t>
      </w:r>
      <w:r>
        <w:rPr>
          <w:rFonts w:ascii="Golos Text" w:hAnsi="Golos Text" w:cs="Golos Text" w:eastAsia="Golos Text"/>
          <w:b/>
          <w:color w:val="1D3557"/>
          <w:sz w:val="21"/>
        </w:rPr>
        <w:t>колдоо азаят</w:t>
      </w:r>
      <w:r>
        <w:rPr>
          <w:rFonts w:ascii="Golos Text" w:hAnsi="Golos Text" w:cs="Golos Text" w:eastAsia="Golos Text"/>
          <w:b w:val="0"/>
          <w:color w:val="1D3557"/>
          <w:sz w:val="21"/>
        </w:rPr>
        <w:t xml:space="preserve"> → </w:t>
      </w:r>
      <w:r>
        <w:rPr>
          <w:rFonts w:ascii="Golos Text" w:hAnsi="Golos Text" w:cs="Golos Text" w:eastAsia="Golos Text"/>
          <w:b/>
          <w:color w:val="1D3557"/>
          <w:sz w:val="21"/>
        </w:rPr>
        <w:t>бир нерсе өзгөрөт</w:t>
      </w:r>
      <w:r>
        <w:rPr>
          <w:rFonts w:ascii="Golos Text" w:hAnsi="Golos Text" w:cs="Golos Text" w:eastAsia="Golos Text"/>
          <w:b w:val="0"/>
          <w:color w:val="1D3557"/>
          <w:sz w:val="21"/>
        </w:rPr>
        <w:t xml:space="preserve"> (вариация) → </w:t>
      </w:r>
      <w:r>
        <w:rPr>
          <w:rFonts w:ascii="Golos Text" w:hAnsi="Golos Text" w:cs="Golos Text" w:eastAsia="Golos Text"/>
          <w:b/>
          <w:color w:val="1D3557"/>
          <w:sz w:val="21"/>
        </w:rPr>
        <w:t>артка ойлон</w:t>
      </w:r>
      <w:r>
        <w:rPr>
          <w:rFonts w:ascii="Golos Text" w:hAnsi="Golos Text" w:cs="Golos Text" w:eastAsia="Golos Text"/>
          <w:b w:val="0"/>
          <w:color w:val="1D3557"/>
          <w:sz w:val="21"/>
        </w:rPr>
        <w:t xml:space="preserve"> → </w:t>
      </w:r>
      <w:r>
        <w:rPr>
          <w:rFonts w:ascii="Golos Text" w:hAnsi="Golos Text" w:cs="Golos Text" w:eastAsia="Golos Text"/>
          <w:b/>
          <w:color w:val="1D3557"/>
          <w:sz w:val="21"/>
        </w:rPr>
        <w:t>катаны тап</w:t>
      </w:r>
      <w:r>
        <w:rPr>
          <w:rFonts w:ascii="Golos Text" w:hAnsi="Golos Text" w:cs="Golos Text" w:eastAsia="Golos Text"/>
          <w:b w:val="0"/>
          <w:color w:val="1D3557"/>
          <w:sz w:val="21"/>
        </w:rPr>
        <w:t xml:space="preserve"> → </w:t>
      </w:r>
      <w:r>
        <w:rPr>
          <w:rFonts w:ascii="Golos Text" w:hAnsi="Golos Text" w:cs="Golos Text" w:eastAsia="Golos Text"/>
          <w:b/>
          <w:color w:val="1D3557"/>
          <w:sz w:val="21"/>
        </w:rPr>
        <w:t>жыйынтык</w:t>
      </w:r>
      <w:r>
        <w:rPr>
          <w:rFonts w:ascii="Golos Text" w:hAnsi="Golos Text" w:cs="Golos Text" w:eastAsia="Golos Text"/>
          <w:b w:val="0"/>
          <w:color w:val="1D3557"/>
          <w:sz w:val="21"/>
        </w:rPr>
        <w:t xml:space="preserve"> же </w:t>
      </w:r>
      <w:r>
        <w:rPr>
          <w:rFonts w:ascii="Golos Text" w:hAnsi="Golos Text" w:cs="Golos Text" w:eastAsia="Golos Text"/>
          <w:b/>
          <w:color w:val="1D3557"/>
          <w:sz w:val="21"/>
        </w:rPr>
        <w:t>ойлон</w:t>
      </w:r>
      <w:r>
        <w:rPr>
          <w:rFonts w:ascii="Golos Text" w:hAnsi="Golos Text" w:cs="Golos Text" w:eastAsia="Golos Text"/>
          <w:b w:val="0"/>
          <w:color w:val="1D3557"/>
          <w:sz w:val="21"/>
        </w:rPr>
        <w:t>. Деңгээлдер: жашыл ★☆☆ → кызгылт сары ★★☆ → көк ★★★. Ар бир туура эмес жооп белгилүү бир жаңылыштыктан келет: ирээттебей медиананы алуу, жуп тизмеде бир гана ортону алуу, нөлдү эсептебөө, моданын ордуна канча жолу экенин жазуу, кулачтын ордуна эң чоң санды жазуу.</w:t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24418C"/>
          <w:left w:val="single" w:sz="10" w:color="24418C"/>
          <w:bottom w:val="single" w:sz="10" w:color="24418C"/>
          <w:right w:val="single" w:sz="10" w:color="24418C"/>
          <w:insideH w:val="single" w:sz="10" w:color="24418C"/>
          <w:insideV w:val="single" w:sz="10" w:color="24418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</w:rPr>
              <w:t>Башка темага үлгү катары колдонуу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567"/>
        <w:gridCol w:w="9979"/>
      </w:tblGrid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</w:t>
            </w:r>
          </w:p>
        </w:tc>
        <w:tc>
          <w:tcPr>
            <w:tcW w:type="dxa" w:w="997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Бир бай, турмуштук маселе тандаңыз: ал бир нече ыкма менен чыгарылсын, бир ыкма ката болсун (MathKG ыкмасы, 7 баскыч, 45 мүнөт).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</w:t>
            </w:r>
          </w:p>
        </w:tc>
        <w:tc>
          <w:tcPr>
            <w:tcW w:type="dxa" w:w="997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Теманын 3–5 жаңылыштыгын жазыңыз. Ар бир барак кеминде бирөөнү көрсөтсүн.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3</w:t>
            </w:r>
          </w:p>
        </w:tc>
        <w:tc>
          <w:tcPr>
            <w:tcW w:type="dxa" w:w="997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Ушул беш барактын түзүлүшүн сактап, сандарды жана маселелерди гана алмаштырыңыз: оюн, бекемдөө, кадам-кадам, лабиринт, карточкалар. Иш-аракеттердин шаблондорун (Ооба/Жок/Балким, Көрсөт, Кенч издөө, Блокбастер) ушундай эле толтуруңуз.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4</w:t>
            </w:r>
          </w:p>
        </w:tc>
        <w:tc>
          <w:tcPr>
            <w:tcW w:type="dxa" w:w="997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Ар бир барактын маалыматы жана текшерүүсү бир файлда. Программа бардык жоопторду эсептеп текшерет, анан окуучу барагын жана жооптор барагын (басып чыгаруу үчүн жана оңдоо үчүн) бирден чыгарат. Техникалык нускама топтомдун ичинде.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5</w:t>
            </w:r>
          </w:p>
        </w:tc>
        <w:tc>
          <w:tcPr>
            <w:tcW w:type="dxa" w:w="997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Сабакты изилдөө: план → сабак жана байкоо → талкуу → өзгөртүү. Ар бир жаңы версияны журналга жазыңыз.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6</w:t>
            </w:r>
          </w:p>
        </w:tc>
        <w:tc>
          <w:tcPr>
            <w:tcW w:type="dxa" w:w="997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Пикир, ката жана сунуштарды жөнөтүңүз: mathematicskgz@gmail.com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007A5A"/>
          <w:left w:val="single" w:sz="10" w:color="007A5A"/>
          <w:bottom w:val="single" w:sz="10" w:color="007A5A"/>
          <w:right w:val="single" w:sz="10" w:color="007A5A"/>
          <w:insideH w:val="single" w:sz="10" w:color="007A5A"/>
          <w:insideV w:val="single" w:sz="10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24"/>
              </w:rPr>
              <w:t>Сабакты изилдөө: циклди кайталоо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041"/>
        <w:gridCol w:w="6804"/>
        <w:gridCol w:w="1701"/>
      </w:tblGrid>
      <w:tr>
        <w:trPr>
          <w:cantSplit/>
        </w:trPr>
        <w:tc>
          <w:tcPr>
            <w:tcW w:type="dxa" w:w="204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Качан</w:t>
            </w:r>
          </w:p>
        </w:tc>
        <w:tc>
          <w:tcPr>
            <w:tcW w:type="dxa" w:w="6803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Эмне кылабыз</w:t>
            </w:r>
          </w:p>
        </w:tc>
        <w:tc>
          <w:tcPr>
            <w:tcW w:type="dxa" w:w="170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Барак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Сабактан 1–2 жума мурун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Топ менен изилдөө суроосун тандайбыз, маселени өзүбүз чыгарабыз, окуучулардын жоопторун алдын ала жазабыз.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План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Сабак учурунда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Бир мугалим сабак өтөт, калгандары 2–3 фокус окуучуну байкайт: сөздөрүн, иштерин, сандарды жазат.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Байкоо барагы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Ошол эле күнү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Далилге таянып талкуулайбыз: изилдөө суроосуна жооп, эмнени өзгөртөбүз.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Талкуу барагы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Кийинки класста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Оңдолгон версияны башка класста өтөбүз, кайра байкайбыз. Ар бир версия журналга жазылат.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Версия журналы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Окуучуларды ойлонтуучу мугалимдин беш адаты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567"/>
        <w:gridCol w:w="9979"/>
      </w:tblGrid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</w:t>
            </w:r>
          </w:p>
        </w:tc>
        <w:tc>
          <w:tcPr>
            <w:tcW w:type="dxa" w:w="997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Жоопту айтпай күтөбүз: 4 мүнөт өз алдынча иштөө, суроодон кийин 3–5 секунд.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</w:t>
            </w:r>
          </w:p>
        </w:tc>
        <w:tc>
          <w:tcPr>
            <w:tcW w:type="dxa" w:w="997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«Эмне үчүн?» жана «Кантип билдиң?» деп сурайбыз.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3</w:t>
            </w:r>
          </w:p>
        </w:tc>
        <w:tc>
          <w:tcPr>
            <w:tcW w:type="dxa" w:w="997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Ката — талкуу үчүн белек: ката ыкманы да тактага чыгарабыз.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4</w:t>
            </w:r>
          </w:p>
        </w:tc>
        <w:tc>
          <w:tcPr>
            <w:tcW w:type="dxa" w:w="997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Ыкмаларды салыштырабыз: ар бир ыкма кайсы суроого жооп берет?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5</w:t>
            </w:r>
          </w:p>
        </w:tc>
        <w:tc>
          <w:tcPr>
            <w:tcW w:type="dxa" w:w="997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Ар бир санды, жарнаманы жана жасалма интеллекттин жообун текшеребиз.</w:t>
            </w:r>
          </w:p>
        </w:tc>
      </w:tr>
    </w:tbl>
    <w:p>
      <w:pPr>
        <w:spacing w:after="0" w:before="0" w:line="264" w:lineRule="auto"/>
      </w:pPr>
    </w:p>
    <w:sectPr w:rsidR="00FC693F" w:rsidRPr="0006063C" w:rsidSect="00034616">
      <w:footerReference w:type="default" r:id="rId9"/>
      <w:pgSz w:w="11906" w:h="16838"/>
      <w:pgMar w:top="624" w:right="680" w:bottom="794" w:left="68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88" w:val="right"/>
      </w:tabs>
    </w:pPr>
    <w:r>
      <w:rPr>
        <w:rFonts w:ascii="Golos Text" w:hAnsi="Golos Text" w:cs="Golos Text" w:eastAsia="Golos Text"/>
        <w:b w:val="0"/>
        <w:color w:val="8D99AA"/>
        <w:sz w:val="16"/>
      </w:rPr>
      <w:t>MathKG · Математика кыргызча</w:t>
      <w:tab/>
      <w:t xml:space="preserve">Мугалим үчүн · 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PAGE</w:instrText>
      <w:fldChar w:fldCharType="end"/>
    </w:r>
    <w:r>
      <w:rPr>
        <w:rFonts w:ascii="Golos Text" w:hAnsi="Golos Text" w:cs="Golos Text" w:eastAsia="Golos Text"/>
        <w:b w:val="0"/>
        <w:color w:val="8D99AA"/>
        <w:sz w:val="16"/>
      </w:rPr>
      <w:t>/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olos Text" w:hAnsi="Golos Text" w:eastAsia="Golos Tex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Мугалим үчүн: топтомду кантип колдонобуз</dc:title>
  <dc:subject/>
  <dc:creator>MathKG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