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ArogyaSecure Reimbursement Guide</w:t>
      </w:r>
    </w:p>
    <w:p>
      <w:r>
        <w:t>Version 1.0 - Effective 1 July 2026</w:t>
      </w:r>
    </w:p>
    <w:p>
      <w:pPr>
        <w:pStyle w:val="Heading1"/>
      </w:pPr>
      <w:r>
        <w:t>General Calculation</w:t>
      </w:r>
    </w:p>
    <w:p>
      <w:pPr>
        <w:pStyle w:val="ListBullet"/>
      </w:pPr>
      <w:r>
        <w:t>Reimbursement is calculated only on eligible expenses.</w:t>
      </w:r>
    </w:p>
    <w:p>
      <w:pPr>
        <w:pStyle w:val="ListBullet"/>
      </w:pPr>
      <w:r>
        <w:t>The standard sample coverage percentage is 80% where no special benefit overrides it.</w:t>
      </w:r>
    </w:p>
    <w:p>
      <w:pPr>
        <w:pStyle w:val="ListBullet"/>
      </w:pPr>
      <w:r>
        <w:t>Coverage percentages above 100% must be capped at 100%.</w:t>
      </w:r>
    </w:p>
    <w:p>
      <w:pPr>
        <w:pStyle w:val="Heading1"/>
      </w:pPr>
      <w:r>
        <w:t>Specific Limits</w:t>
      </w:r>
    </w:p>
    <w:p>
      <w:pPr>
        <w:pStyle w:val="ListBullet"/>
      </w:pPr>
      <w:r>
        <w:t>Ambulance charges are reimbursable up to INR 2,000 per hospitalization.</w:t>
      </w:r>
    </w:p>
    <w:p>
      <w:pPr>
        <w:pStyle w:val="ListBullet"/>
      </w:pPr>
      <w:r>
        <w:t>ICU expenses are reimbursed up to applicable policy limits.</w:t>
      </w:r>
    </w:p>
    <w:p>
      <w:pPr>
        <w:pStyle w:val="ListBullet"/>
      </w:pPr>
      <w:r>
        <w:t>Non-medical consumables such as administrative kits, visitor meals, and convenience items are not reimbursable.</w:t>
      </w:r>
    </w:p>
    <w:p>
      <w:pPr>
        <w:pStyle w:val="Heading1"/>
      </w:pPr>
      <w:r>
        <w:t>Large Claims</w:t>
      </w:r>
    </w:p>
    <w:p>
      <w:pPr>
        <w:pStyle w:val="ListBullet"/>
      </w:pPr>
      <w:r>
        <w:t>Claims above INR 200,000 require additional verification and may require medical records, implant invoices, or treating-doctor clarification.</w:t>
      </w:r>
    </w:p>
    <w:p>
      <w:pPr>
        <w:pStyle w:val="Heading1"/>
      </w:pPr>
      <w:r>
        <w:t>Calculation Example</w:t>
      </w:r>
    </w:p>
    <w:p>
      <w:pPr>
        <w:pStyle w:val="ListBullet"/>
      </w:pPr>
      <w:r>
        <w:t>Eligible bill amount: INR 10,000</w:t>
      </w:r>
    </w:p>
    <w:p>
      <w:pPr>
        <w:pStyle w:val="ListBullet"/>
      </w:pPr>
      <w:r>
        <w:t>Coverage: 80%</w:t>
      </w:r>
    </w:p>
    <w:p>
      <w:pPr>
        <w:pStyle w:val="ListBullet"/>
      </w:pPr>
      <w:r>
        <w:t>Expected reimbursement: INR 8,000</w:t>
      </w:r>
    </w:p>
    <w:p>
      <w:pPr>
        <w:pStyle w:val="Heading1"/>
      </w:pPr>
      <w:r>
        <w:t>Important Restriction</w:t>
      </w:r>
    </w:p>
    <w:p>
      <w:pPr>
        <w:pStyle w:val="ListBullet"/>
      </w:pPr>
      <w:r>
        <w:t>The assistant must not calculate reimbursement until both bill amount and coverage percentage are available.</w:t>
      </w:r>
    </w:p>
    <w:p>
      <w:pPr>
        <w:pStyle w:val="ListBullet"/>
      </w:pPr>
      <w:r>
        <w:t>A calculated amount is an estimate and does not replace final claim adjudication.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