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Aerial Simulation Planning (ASP) Console</w:t>
      </w:r>
    </w:p>
    <w:p>
      <w:r>
        <w:t>Presentation Document with Architecture Flow Diagram</w:t>
      </w:r>
    </w:p>
    <w:p>
      <w:pPr>
        <w:pStyle w:val="Heading2"/>
      </w:pPr>
      <w:r>
        <w:t>High-Level Architecture Flow Diagram</w:t>
      </w:r>
    </w:p>
    <w:p>
      <w:r>
        <w:drawing>
          <wp:inline xmlns:a="http://schemas.openxmlformats.org/drawingml/2006/main" xmlns:pic="http://schemas.openxmlformats.org/drawingml/2006/picture">
            <wp:extent cx="5303520" cy="5167144"/>
            <wp:docPr id="1" name="Picture 1"/>
            <wp:cNvGraphicFramePr>
              <a:graphicFrameLocks noChangeAspect="1"/>
            </wp:cNvGraphicFramePr>
            <a:graphic>
              <a:graphicData uri="http://schemas.openxmlformats.org/drawingml/2006/picture">
                <pic:pic>
                  <pic:nvPicPr>
                    <pic:cNvPr id="0" name="image(94).png"/>
                    <pic:cNvPicPr/>
                  </pic:nvPicPr>
                  <pic:blipFill>
                    <a:blip r:embed="rId9"/>
                    <a:stretch>
                      <a:fillRect/>
                    </a:stretch>
                  </pic:blipFill>
                  <pic:spPr>
                    <a:xfrm>
                      <a:off x="0" y="0"/>
                      <a:ext cx="5303520" cy="5167144"/>
                    </a:xfrm>
                    <a:prstGeom prst="rect"/>
                  </pic:spPr>
                </pic:pic>
              </a:graphicData>
            </a:graphic>
          </wp:inline>
        </w:drawing>
      </w:r>
    </w:p>
    <w:p>
      <w:r>
        <w:t>Figure 1: ASP architecture showing Angular frontend components, Spring Boot services, REST communication, GeoServer WMS integration, and PostgreSQL persistence.</w:t>
      </w:r>
    </w:p>
    <w:p>
      <w:pPr>
        <w:pStyle w:val="Heading2"/>
      </w:pPr>
      <w:r>
        <w:t>Architecture Summary</w:t>
      </w:r>
    </w:p>
    <w:p>
      <w:r>
        <w:t>DashboardComponent orchestrates Planning, Map Simulation, and Analytics modules. OpenLayers consumes GeoServer WMS tiles, while Spring Boot manages plans, timeline, deploy areas, and route intersection analysis. PostgreSQL stores plans, deploy areas, and timeline configuration.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