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姓名：__________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after="40"/>
        <w:ind w:firstLine="400"/>
        <w:jc w:val="both"/>
      </w:pPr>
      <w:r>
        <w:rPr>
          <w:sz w:val="20"/>
        </w:rPr>
        <w:t>多层介质薄膜的反射光谱由各层厚度通过干涉效应决定，而"厚度到光谱"的正向计算需要传输矩阵法（TMM）逐点求解，在需要评估大量候选结构时计算代价不可忽略。本文以统一模型 Air/H/L/H/L/Glass（nH = 2.30，nL = 1.45，ns = 1.52，膜厚 40–180 nm）为研究对象，用 TMM 生成 5000 组"膜厚—反射光谱"数据（400–800 nm，步长 10 nm，共 41 点），按 4000/500/500 固定划分，训练 4–128–128–64–41 的多层感知机（MLP）代理模型，围绕预测精度、训练数据量效应与辅助设计能力三个问题展开。测试集上 MLP 的平均绝对误差为 0.00638，决定系数 R² 为 0.9977；在目标波长 480 nm 处预测与真值的 Pearson 相关系数为0.9984。误差随训练样本数按 N^(−1.031) 的幂律下降，边际收益递减。用 design_seed 生成10000 组候选结构，MLP 预测值与 TMM 真值在目标波长处的 Spearman 排序相关系数为 0.9983，Top10 召回率为 60%；最终设计经 TMM 复核得到 R(480 nm) = 0.6579，达到四分之一波长解析上限 0.6589 的 99.8%。结果表明 MLP 可作为低成本的代理模型用于候选结构快速筛选，但最终设计必须由 TMM 复核。</w:t>
      </w:r>
    </w:p>
    <w:p>
      <w:pPr>
        <w:spacing w:after="40"/>
        <w:jc w:val="both"/>
      </w:pPr>
      <w:r>
        <w:rPr>
          <w:sz w:val="20"/>
        </w:rPr>
        <w:t>关键词：光学薄膜；传输矩阵法；多层感知机；代理模型；AI for Science</w:t>
      </w:r>
    </w:p>
    <w:p>
      <w:pPr>
        <w:pStyle w:val="1"/>
      </w:pPr>
      <w:r>
        <w:t>1. 引言</w:t>
      </w:r>
    </w:p>
    <w:p>
      <w:pPr>
        <w:spacing w:after="4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。在正入射、无吸收、忽略色散的条件下，给定各层折射率与厚度，光谱响应完全确定；反之，要在某波长获得特定反射率则需确定各层厚度，这是多变量、非线性的设计问题。四分之一波长条件给出了经典解，但膜厚的周期性与光谱的多峰特性使"厚度—光谱"映射呈现强非线性。</w:t>
      </w:r>
    </w:p>
    <w:p>
      <w:pPr>
        <w:spacing w:after="4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特征矩阵，沿膜系连乘后由等效导纳得到反射率。单条光谱的计算开销很小，但当设计流程需要评估上万组候选结构时，累积代价迅速上升；若再考虑色散、斜入射与吸收，单次前向计算的成本还会显著增加。</w:t>
      </w:r>
    </w:p>
    <w:p>
      <w:pPr>
        <w:spacing w:after="4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机器学习代理模型提供了另一条路径：用数据学习"膜厚到光谱"的映射，以极低的推理成本替代物理计算，用于大规模候选的初筛，最终结果再由物理模型复核——这正是 AI for Science 的典型范式。本文围绕三个问题展开：（1）MLP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spacing w:after="40"/>
        <w:ind w:firstLine="400"/>
        <w:jc w:val="both"/>
      </w:pPr>
      <w:r>
        <w:rPr>
          <w:sz w:val="20"/>
        </w:rPr>
        <w:t>**图 1** 本研究的总体流程：TMM 生成数据、MLP 训练与预测、数据量实验、辅助设计与 TMM 复核。</w:t>
      </w:r>
    </w:p>
    <w:p>
      <w:pPr>
        <w:pStyle w:val="1"/>
      </w:pPr>
      <w:r>
        <w:t>2. 材料与方法</w:t>
      </w:r>
    </w:p>
    <w:p>
      <w:pPr>
        <w:pStyle w:val="21"/>
      </w:pPr>
      <w:r>
        <w:t>2.1 光学模型与传输矩阵法</w:t>
      </w:r>
    </w:p>
    <w:p>
      <w:pPr>
        <w:spacing w:after="40"/>
        <w:ind w:firstLine="400"/>
        <w:jc w:val="both"/>
      </w:pPr>
      <w:r>
        <w:rPr>
          <w:sz w:val="20"/>
        </w:rPr>
        <w:t>研究对象统一为 Air/H/L/H/L/Glass 四层介质膜，正入射、无吸收并忽略色散。高、低折射率材料分别取 nH = 2.30 与 nL = 1.45，玻璃基底 ns = 1.52，入射介质为空气 n0 = 1.00，每层膜厚在 40–180 nm 内变化，波长范围为 400–800 nm、步长 10 nm，共 41 个采样点。</w:t>
      </w:r>
    </w:p>
    <w:p>
      <w:pPr>
        <w:spacing w:after="40"/>
        <w:ind w:firstLine="400"/>
        <w:jc w:val="both"/>
      </w:pPr>
      <w:r>
        <w:rPr>
          <w:sz w:val="20"/>
        </w:rPr>
        <w:t>第 i 层的位相厚度为</w:t>
      </w:r>
    </w:p>
    <w:p>
      <w:pPr>
        <w:spacing w:after="40"/>
        <w:jc w:val="center"/>
      </w:pPr>
      <w:r>
        <w:rPr>
          <w:sz w:val="18"/>
        </w:rPr>
        <w:t>δ_i = 2π n_i d_i / λ</w:t>
      </w:r>
    </w:p>
    <w:p>
      <w:pPr>
        <w:spacing w:after="40"/>
        <w:ind w:firstLine="400"/>
        <w:jc w:val="both"/>
      </w:pPr>
      <w:r>
        <w:rPr>
          <w:sz w:val="20"/>
        </w:rPr>
        <w:t>其特征矩阵为</w:t>
      </w:r>
    </w:p>
    <w:p>
      <w:pPr>
        <w:spacing w:after="40"/>
        <w:jc w:val="center"/>
      </w:pPr>
      <w:r>
        <w:rPr>
          <w:sz w:val="18"/>
        </w:rPr>
        <w:t>M_i = [ cos δ_i        i sin δ_i / η_i ]</w:t>
      </w:r>
    </w:p>
    <w:p>
      <w:pPr>
        <w:spacing w:after="40"/>
        <w:jc w:val="center"/>
      </w:pPr>
      <w:r>
        <w:rPr>
          <w:sz w:val="18"/>
        </w:rPr>
        <w:t>[ i η_i sin δ_i     cos δ_i     ]</w:t>
      </w:r>
    </w:p>
    <w:p>
      <w:pPr>
        <w:spacing w:after="40"/>
        <w:ind w:firstLine="400"/>
        <w:jc w:val="both"/>
      </w:pPr>
      <w:r>
        <w:rPr>
          <w:sz w:val="20"/>
        </w:rPr>
        <w:t>其中正入射下光学导纳 η_i = n_i（自由空间单位）。整个膜系的特征矩阵为各层矩阵按入射到出射顺序的连乘 M = M_1 M_2 M_3 M_4，由</w:t>
      </w:r>
    </w:p>
    <w:p>
      <w:pPr>
        <w:spacing w:after="40"/>
        <w:jc w:val="center"/>
      </w:pPr>
      <w:r>
        <w:rPr>
          <w:sz w:val="18"/>
        </w:rPr>
        <w:t>[B; C] = M [1; η_s]</w:t>
      </w:r>
    </w:p>
    <w:p>
      <w:pPr>
        <w:spacing w:after="40"/>
        <w:ind w:firstLine="400"/>
        <w:jc w:val="both"/>
      </w:pPr>
      <w:r>
        <w:rPr>
          <w:sz w:val="20"/>
        </w:rPr>
        <w:t>得到等效导纳 Y = C/B，反射系数与反射率分别为</w:t>
      </w:r>
    </w:p>
    <w:p>
      <w:pPr>
        <w:spacing w:after="40"/>
        <w:jc w:val="center"/>
      </w:pPr>
      <w:r>
        <w:rPr>
          <w:sz w:val="18"/>
        </w:rPr>
        <w:t>r = (η_0 − Y) / (η_0 + Y)，R = |r|²</w:t>
      </w:r>
    </w:p>
    <w:p>
      <w:pPr>
        <w:spacing w:after="4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R：一是上述特征矩阵连乘；二是从基底出发的等效导纳递推Y ← (Y cos δ + i η sin δ) / (cos δ + i (Y/η) sin δ)。二者数学等价但代码路径不同，用于互相验错。校核结果：裸基底反射率与解析值 4.258% 相差 7×10⁻¹⁸；四分之一波长膜系在 480 nm 处与导纳链解析值 0.6589 相差 1×10⁻¹⁶；200 组随机单层膜与单层膜解析式的最大偏差6×10⁻¹⁶；两套实现作用于 2000 组随机膜厚（41 个波长）的最大差异 9×10⁻¹⁶；R + T = 1 的最大偏差 1×10⁻¹⁵。另用在线 TMM 工具对 5 个代表性膜系独立核对，最大偏差6×10⁻¹⁶。</w:t>
      </w:r>
    </w:p>
    <w:p>
      <w:pPr>
        <w:keepNext w:val="0"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1722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1722848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数据生成，包括膜系结构、三条代表性反射光谱与 5000 组样本在目标波长处的</w:t>
      </w:r>
    </w:p>
    <w:p>
      <w:pPr>
        <w:spacing w:after="40"/>
        <w:ind w:firstLine="400"/>
        <w:jc w:val="both"/>
      </w:pPr>
      <w:r>
        <w:rPr>
          <w:sz w:val="20"/>
        </w:rPr>
        <w:t>反射率分布。</w:t>
      </w:r>
    </w:p>
    <w:p>
      <w:pPr>
        <w:pStyle w:val="21"/>
      </w:pPr>
      <w:r>
        <w:t>2.2 个人目标波长与随机种子</w:t>
      </w:r>
    </w:p>
    <w:p>
      <w:pPr>
        <w:spacing w:after="40"/>
        <w:ind w:firstLine="400"/>
        <w:jc w:val="both"/>
      </w:pPr>
      <w:r>
        <w:rPr>
          <w:sz w:val="20"/>
        </w:rPr>
        <w:t>设学号后两位为 N，目标波长 λ_target = 450 + 10 × (N mod 31) nm；随机种子取学号后 6 位整数，设计阶段的种子取 design_seed = seed + 1，以避免候选膜厚与训练数据重复。本人学号后两位为 03，因此 λ_target = 480 nm；seed = 303003；design_seed = 303004。数据生成、数据划分与模型初始化均由 seed 控制。</w:t>
      </w:r>
    </w:p>
    <w:p>
      <w:pPr>
        <w:pStyle w:val="21"/>
      </w:pPr>
      <w:r>
        <w:t>2.3 数据集生成</w:t>
      </w:r>
    </w:p>
    <w:p>
      <w:pPr>
        <w:spacing w:after="40"/>
        <w:ind w:firstLine="400"/>
        <w:jc w:val="both"/>
      </w:pPr>
      <w:r>
        <w:rPr>
          <w:sz w:val="20"/>
        </w:rPr>
        <w:t>按 numpy 传统随机数接口（np.random.seed 与 np.random.rand，该接口具有跨版本流一致性保证），在 40–180 nm 内均匀采样生成 5000 组四层膜厚，并用 TMM 计算每组在 41 个波长处的反射率。随后用一次性随机排列固定划分：排列后的前 4000 组为训练池、其后 500 组为验证集、最后 500 组为测试集。该划分在本文所有实验中保持不变；数据量实验中的"N 组训练样本"即训练池中的前 N 组。</w:t>
      </w:r>
    </w:p>
    <w:p>
      <w:pPr>
        <w:keepNext w:val="0"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14538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145388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</w:pPr>
      <w:r>
        <w:t>2.4 MLP 代理模型</w:t>
      </w:r>
    </w:p>
    <w:p>
      <w:pPr>
        <w:spacing w:after="40"/>
        <w:ind w:firstLine="400"/>
        <w:jc w:val="both"/>
      </w:pPr>
      <w:r>
        <w:rPr>
          <w:sz w:val="20"/>
        </w:rPr>
        <w:t>MLP 输入为归一化到 [0, 1] 的四层膜厚 (d − 40)/140，输出为 41 个波长采样点的反射率。网络结构为 4–128–128–64–41，隐藏层激活函数为 ReLU，输出层为线性层，参数量约 2.7×10⁴。损失函数为均方误差（MSE），优化器为 Adam，学习率 3×10⁻³，批大小 256，最多训练 4000 轮，以验证集损失为早停判据（耐心 400 轮），并保存验证集最优的权重用于测试与筛选。所有训练均在 CPU 上完成，单次训练耗时约 211.7 s。为公平比较，数据量实验中各模型除训练样本数与初始化种子外，全部超参数完全一致。</w:t>
      </w:r>
    </w:p>
    <w:p>
      <w:pPr>
        <w:pStyle w:val="21"/>
      </w:pPr>
      <w:r>
        <w:t>2.5 训练数据量实验</w:t>
      </w:r>
    </w:p>
    <w:p>
      <w:pPr>
        <w:spacing w:after="40"/>
        <w:ind w:firstLine="400"/>
        <w:jc w:val="both"/>
      </w:pPr>
      <w:r>
        <w:rPr>
          <w:sz w:val="20"/>
        </w:rPr>
        <w:t>从固定训练池中依次取前 500、1000、2000、4000 组训练模型，验证集与测试集始终为固定的 500 组。考虑到不同初始化会带来随机波动，每个数据量水平用 3 个初始化种子重复训练，报告平均值与标准差。同时对"测试集 MSE 随训练样本数"做双对数线性拟合，得到幂律指数 α 作为数据量效应的定量描述。</w:t>
      </w:r>
    </w:p>
    <w:p>
      <w:pPr>
        <w:pStyle w:val="21"/>
      </w:pPr>
      <w:r>
        <w:t>2.6 MLP 辅助薄膜筛选</w:t>
      </w:r>
    </w:p>
    <w:p>
      <w:pPr>
        <w:spacing w:after="40"/>
        <w:ind w:firstLine="400"/>
        <w:jc w:val="both"/>
      </w:pPr>
      <w:r>
        <w:rPr>
          <w:sz w:val="20"/>
        </w:rPr>
        <w:t>用 design_seed 在 40–180 nm 内均匀生成 10000 组新候选膜厚，用训练好的 MLP 预测其 41 点反射光谱，按 λ_target 处的预测反射率降序排序，取前 10 名。为检验排名的可信度，本文对全部 10000 组候选都用 TMM 重新计算真值，进而计算 MLP 预测与真值排序的 Spearman 相关系数、MLP Top10 与 TMM Top10的重合比例（召回率），并把 MLP 的 Top10 按 TMM 真值重排，得到最终 Top5 设计。作为性能参照，本文还用解析四分之一波长条件与全局优化（差分进化 + 多起点 L-BFGS-B）求出了λ_target 处反射率的物理上限。</w:t>
      </w:r>
    </w:p>
    <w:p>
      <w:pPr>
        <w:pStyle w:val="1"/>
      </w:pPr>
      <w:r>
        <w:t>3. 结果</w:t>
      </w:r>
    </w:p>
    <w:p>
      <w:pPr>
        <w:pStyle w:val="21"/>
      </w:pPr>
      <w:r>
        <w:t>3.1 训练与光谱预测</w:t>
      </w:r>
    </w:p>
    <w:p>
      <w:pPr>
        <w:spacing w:after="4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1234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123430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训练集与验证集的损失曲线。</w:t>
      </w:r>
    </w:p>
    <w:p>
      <w:pPr>
        <w:spacing w:after="40"/>
        <w:ind w:firstLine="400"/>
        <w:jc w:val="both"/>
      </w:pPr>
      <w:r>
        <w:rPr>
          <w:sz w:val="20"/>
        </w:rPr>
        <w:t>在固定测试集（500 组）上，MLP 预测的平均绝对误差 MAE 为 0.00638，均方根误差 RMSE 为0.0086，决定系数 R² = 0.9977，单点最大绝对偏差 0.054。逐波长看，短波端误差略大（400 nm 处 MAE = 0.0135），长波端最小（780 nm 处 MAE = 0.0038），与短波端光谱变化更剧烈一致。图 5 给出三个代表性测试样本的光谱对比：误差较小的样本其光谱较为平缓，误差较大的样本在 400–550 nm 区间存在明显振荡。在目标波长 480 nm 处，预测与真值的 Pearson 相关系数为 0.9984，MAE = 0.00786，偏差 +0.00093。</w:t>
      </w:r>
    </w:p>
    <w:p>
      <w:pPr>
        <w:keepNext w:val="0"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23139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231399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预测的光谱对比，以及目标波长处的预测—真值散点。</w:t>
      </w:r>
    </w:p>
    <w:p>
      <w:pPr>
        <w:pStyle w:val="21"/>
      </w:pPr>
      <w:r>
        <w:t>3.2 训练数据量的影响</w:t>
      </w:r>
    </w:p>
    <w:p>
      <w:pPr>
        <w:spacing w:after="40"/>
        <w:ind w:firstLine="400"/>
        <w:jc w:val="both"/>
      </w:pPr>
      <w:r>
        <w:rPr>
          <w:sz w:val="20"/>
        </w:rPr>
        <w:t>固定验证集与测试集，训练样本数从 500 增加到 4000（每个水平 3 个初始化种子），测试集 MSE 从6×10⁻⁴ 降至 7×10⁻⁵，平均绝对误差从 0.0171 降至 0.0063。双对数拟合给出幂律关系 MSE ∝ N^(−1.031)，拟合优度 R² = 0.9910（图 6a）。从 500 增至 1000 组时误差下降约 56.7%，而从 2000 增至 4000 组时仅再下降41.7%，呈明显的边际收益递减（图 6b）。三个种子之间的标准差（约 3×10⁻⁵）明显小于不同数据量之间的差异，说明该趋势来自数据量而非随机初始化。</w:t>
      </w:r>
    </w:p>
    <w:p>
      <w:pPr>
        <w:keepNext w:val="0"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1275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1275728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</w:pPr>
      <w:r>
        <w:t>3.3 MLP 辅助薄膜设计</w:t>
      </w:r>
    </w:p>
    <w:p>
      <w:pPr>
        <w:spacing w:after="4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after="4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真值高度重合，但在目标波长处给出0.6657 的预测值，高于物理上限 0.6589，说明代理模型在极值附近倾向于外推。</w:t>
      </w:r>
    </w:p>
    <w:p>
      <w:pPr>
        <w:spacing w:after="4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L-BFGS-B局部优化，再对四维膜厚空间做每层 41 点的密集网格穷举（共 2.83×10⁶ 个评价点）并逐级细化，两条路径的最优值相差仅 8×10⁻⁶。网格搜索还揭示了一个精确对称性：单层特征矩阵满足M(δ + π) = −M(δ)，而反射率只依赖 C/B，符号自动抵消，因此任意层增加半个波长的光学厚度不改变光谱。在 40–180 nm 的盒约束内，两片高折射率层可分别取 52.17 nm 或 156.52 nm，构成 4 个在 λ_target处完全等价的解（反射率差异为 0.0000）。这解释了候选池中高分结构的形貌：全批 TMM 最优解的d₁ 为 158.56 nm 而非 52.17 nm，两者正是这一家族中的两个成员。</w:t>
      </w:r>
    </w:p>
    <w:p>
      <w:pPr>
        <w:spacing w:after="4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after="4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13301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133011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after="4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</w:pPr>
      <w:r>
        <w:t>3.4 代表性失败案例与误差来源</w:t>
      </w:r>
    </w:p>
    <w:p>
      <w:pPr>
        <w:spacing w:after="4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after="40"/>
        <w:ind w:firstLine="400"/>
        <w:jc w:val="both"/>
      </w:pPr>
      <w:r>
        <w:rPr>
          <w:sz w:val="20"/>
        </w:rPr>
        <w:t>第一，波长采样不足（混叠）可以直接排除：样本干涉条纹的间距中位数为 180 nm、最小 120 nm，按 Nyquist 判据只需 ≤ 60 nm 的采样间隔，而本文使用 10 nm，冗余度达 6 倍。第二，光谱陡峭度只有弱相关：逐样本 MSE 与"相邻波长平均变化幅度"的Pearson 相关系数为 0.207（r² = 0.043），与总光学厚度为 0.148。第三，膜厚灵敏度不相关：以差分法估计的 |∂R/∂d| 与逐样本误差的相关系数为 -0.078，统计上不显著。第四，局部采样密度相关性最强：在归一化四维膜厚空间中，测试样本到训练集的第 10 近邻距离与逐样本 MSE 的 Pearson 相关系数为 0.370（r² = 0.137），按第 5 近邻距离分箱时，最稀疏组的平均 MSE 比最密集组高 48%（图 8b）。这说明误差的主导来源是训练样本在膜厚空间中的局部稀疏，而非某些光谱"本身难学"。</w:t>
      </w:r>
    </w:p>
    <w:p>
      <w:pPr>
        <w:keepNext w:val="0"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48000" cy="13285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1328547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最大误差样本的 TMM 与 MLP 光谱；(b) 逐样本误差与局部采样密度的关系。</w:t>
      </w:r>
    </w:p>
    <w:p>
      <w:pPr>
        <w:keepNext/>
        <w:spacing w:before="40" w:after="6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Style w:val="aff1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6"/>
              </w:rPr>
              <w:t>0.6521</w:t>
            </w:r>
          </w:p>
        </w:tc>
      </w:tr>
    </w:tbl>
    <w:p>
      <w:pPr>
        <w:pStyle w:val="1"/>
      </w:pPr>
      <w:r>
        <w:t>4. 讨论</w:t>
      </w:r>
    </w:p>
    <w:p>
      <w:pPr>
        <w:spacing w:after="40"/>
        <w:ind w:firstLine="400"/>
        <w:jc w:val="both"/>
      </w:pPr>
      <w:r>
        <w:rPr>
          <w:sz w:val="20"/>
        </w:rPr>
        <w:t>MLP 对"膜厚—光谱"映射的学习效果总体良好：测试集 R² = 0.9977，目标波长处的相关系数达0.9984。失败样本的归因表明，限制精度的不是光谱的高频成分——10 nm 采样对最小条纹间距仍有约 6 倍冗余——而是训练样本在四维膜厚空间中的局部稀疏：第 10 近邻距离与逐样本误差的相关系数为 0.370，最稀疏样本组的误差比最密集组高 48%。这一结论有直接的可操作性：与其扩大均匀随机样本量，不如在误差较大的区域补充样本。</w:t>
      </w:r>
    </w:p>
    <w:p>
      <w:pPr>
        <w:spacing w:after="4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组的收益远大于从2000 组增至 4000 组。这与深度学习中泛化误差随训练集规模幂律下降的经验规律一致，说明在给定采样间隔与网络容量下，继续增加均匀随机样本的收益有限；若要进一步降低误差，提高局部采样密度比单纯扩大样本量更有效。需要说明的是，本文的幂律拟合仅基于 4 个数据量水平、每个水平 3 个初始化种子，指数 α 应视为趋势性估计，而非精确的标度律。</w:t>
      </w:r>
    </w:p>
    <w:p>
      <w:pPr>
        <w:spacing w:after="40"/>
        <w:ind w:firstLine="400"/>
        <w:jc w:val="both"/>
      </w:pPr>
      <w:r>
        <w:rPr>
          <w:sz w:val="20"/>
        </w:rPr>
        <w:t>代理模型在设计环节的价值需要谨慎界定。在 10000 组候选、四层膜这一简单体系下，TMM 穷举仅需0.42 s，而"MLP 预测全部候选 + TMM 复核 Top10"需 0.005 s，绝对耗时都很小；批量推理时 MLP 的单候选耗时约为 TMM 的 1/138，但单点调用时由于深度学习框架的固定开销反而不占优势。按实测，候选规模需超过约 501 组，代理模型节省的时间才能收回训练成本。因此它的真正价值在于前向计算昂贵（层数多、含色散与吸收、斜入射、大批量参数扫描）或候选空间极大的场景。即便排名一致性很高（Spearman 0.9983），代理模型也无法分辨最优尾部的名次：顶部 0.1%候选的真值跨度（0.0069）小于其预测误差（0.00786）。把 λ_target 处权重提高 10 倍可将该处误差降至 0.00597，但 Top1 的身份仍不稳定。这说明稳妥的分工是"代理模型压缩候选规模、TMM 负责最终裁决"。</w:t>
      </w:r>
    </w:p>
    <w:p>
      <w:pPr>
        <w:spacing w:after="40"/>
        <w:ind w:firstLine="400"/>
        <w:jc w:val="both"/>
      </w:pPr>
      <w:r>
        <w:rPr>
          <w:sz w:val="20"/>
        </w:rPr>
        <w:t>本研究存在四点局限。第一，误差仍有约 86% 的方差未被所考察特征解释，说明除采样密度外还有其他因素（如网络容量与优化过程的随机性）。第二，局部加密实验中，加密样本与高反射测试集取自同一分布（σ 相同、随机种子不同、无样本重叠），因此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时目标波长反射率仅下降 0.0008，逐层随机误差 σ = 2 nm 时平均下降 0.0018、最差情形下降 0.0158，说明该设计对制造误差总体不敏感，但极端误差仍会明显削弱性能。</w:t>
      </w:r>
    </w:p>
    <w:p>
      <w:pPr>
        <w:pStyle w:val="1"/>
      </w:pPr>
      <w:r>
        <w:t>5. 结论</w:t>
      </w:r>
    </w:p>
    <w:p>
      <w:pPr>
        <w:spacing w:after="40"/>
        <w:ind w:firstLine="400"/>
        <w:jc w:val="both"/>
      </w:pPr>
      <w:r>
        <w:rPr>
          <w:sz w:val="20"/>
        </w:rPr>
        <w:t>本文以 Air/H/L/H/L/Glass 四层介质膜为对象，用 TMM 生成 5000 组"膜厚—光谱"数据并训练 4–128–128–64–41的 MLP 代理模型，得到三点结论。第一，MLP 能够准确预测反射光谱：测试集 R² = 0.9977、MAE = 0.00638，目标波长处相关系数 0.9984。第二，误差随训练样本数按幂律下降（MSE ∝ N^(−1.031)）并呈边际收益递减，从 2000 组增至 4000 组仅带来 41.7%的额外改善。第三，MLP 可以作为代理模型辅助设计：在 10000 组候选中其排序与 TMM 真值的Spearman 系数为 0.9983，选出的最优结构与全批 TMM 最优一致，TMM 复核反射率 0.6579，达四分之一波长理论上限 0.6589 的 99.8%，但最终结果必须由 TMM 复核，且代理模型在极值附近存在约 0.0068 的乐观偏差。</w:t>
      </w:r>
    </w:p>
    <w:p>
      <w:pPr>
        <w:pStyle w:val="1"/>
      </w:pPr>
      <w:r>
        <w:t>数据与代码可用性</w:t>
      </w:r>
    </w:p>
    <w:p>
      <w:pPr>
        <w:spacing w:after="40"/>
        <w:ind w:firstLine="400"/>
        <w:jc w:val="both"/>
      </w:pPr>
      <w:r>
        <w:rPr>
          <w:sz w:val="20"/>
        </w:rPr>
        <w:t>本研究所用数据全部由本文 TMM 代码生成。全部源代码、模型训练脚本、薄膜筛选脚本、环境依赖与复现说明可在以下仓库获取：</w:t>
      </w:r>
    </w:p>
    <w:p>
      <w:pPr>
        <w:spacing w:after="40"/>
        <w:jc w:val="center"/>
      </w:pPr>
      <w:r>
        <w:rPr>
          <w:sz w:val="18"/>
        </w:rPr>
        <w:t>https://github.com/USERNAME/REPOSITORY</w:t>
      </w:r>
    </w:p>
    <w:p>
      <w:pPr>
        <w:spacing w:after="40"/>
        <w:ind w:firstLine="400"/>
        <w:jc w:val="both"/>
      </w:pPr>
      <w:r>
        <w:rPr>
          <w:sz w:val="20"/>
        </w:rPr>
        <w:t>仓库中 README 记录了个人参数 λ_target = 480 nm、seed = 303003、design_seed = 303004，以及环境配置、数据生成、模型训练、结果复现与薄膜筛选的完整步骤。论文中全部数值与图件均可由该仓库脚本复现。</w:t>
      </w:r>
    </w:p>
    <w:p>
      <w:pPr>
        <w:pStyle w:val="1"/>
      </w:pPr>
      <w:r>
        <w:t>参考文献</w:t>
      </w:r>
    </w:p>
    <w:p>
      <w:pPr>
        <w:spacing w:after="10"/>
        <w:ind w:left="360" w:hanging="360"/>
      </w:pPr>
      <w:r>
        <w:rPr>
          <w:sz w:val="17"/>
        </w:rPr>
        <w:t>[1] Ma T, Ma M, Guo L J. Optical multilayer thin film structure inverse design: from optimization to deep learning. iScience, 2025, 28: 112222.</w:t>
      </w:r>
    </w:p>
    <w:p>
      <w:pPr>
        <w:spacing w:after="10"/>
        <w:ind w:left="360" w:hanging="360"/>
      </w:pPr>
      <w:r>
        <w:rPr>
          <w:sz w:val="17"/>
        </w:rPr>
        <w:t>[2] Macleod H A. Thin-Film Optical Filters. 5th ed. Boca Raton: CRC Press, 2018.</w:t>
      </w:r>
    </w:p>
    <w:p>
      <w:pPr>
        <w:spacing w:after="10"/>
        <w:ind w:left="360" w:hanging="360"/>
      </w:pPr>
      <w:r>
        <w:rPr>
          <w:sz w:val="17"/>
        </w:rPr>
        <w:t>[3] 唐晋发, 顾培夫, 刘旭, 等. 现代光学薄膜技术. 杭州: 浙江大学出版社, 2006.</w:t>
      </w:r>
    </w:p>
    <w:p>
      <w:pPr>
        <w:spacing w:after="10"/>
        <w:ind w:left="360" w:hanging="360"/>
      </w:pPr>
      <w:r>
        <w:rPr>
          <w:sz w:val="17"/>
        </w:rPr>
        <w:t>[4] Peurifoy J, Shen Y, Jing L, et al. Nanophotonic particle simulation and inverse design using artificial neural networks. Science Advances, 2018, 4(6): eaar4206.</w:t>
      </w:r>
    </w:p>
    <w:p>
      <w:pPr>
        <w:spacing w:after="10"/>
        <w:ind w:left="360" w:hanging="360"/>
      </w:pPr>
      <w:r>
        <w:rPr>
          <w:sz w:val="17"/>
        </w:rPr>
        <w:t>[5] Liu D, Tan Y, Khoram E, et al. Training deep neural networks for the inverse design of nanophotonic structures. ACS Photonics, 2018, 5(4): 1365-1369.</w:t>
      </w:r>
    </w:p>
    <w:p>
      <w:pPr>
        <w:spacing w:after="10"/>
        <w:ind w:left="360" w:hanging="360"/>
      </w:pPr>
      <w:r>
        <w:rPr>
          <w:sz w:val="17"/>
        </w:rPr>
        <w:t>[6] Malkiel I, Mrejen M, Nagler A, et al. Plasmonic nanostructure design and characterization via deep learning. Light: Science &amp; Applications, 2018, 7: 60.</w:t>
      </w:r>
    </w:p>
    <w:p>
      <w:pPr>
        <w:spacing w:after="10"/>
        <w:ind w:left="360" w:hanging="360"/>
      </w:pPr>
      <w:r>
        <w:rPr>
          <w:sz w:val="17"/>
        </w:rPr>
        <w:t>[7] Ma T, Wang H, Guo L J. OptoGPT: a foundation model for inverse design in optical multilayer thin film structures. Opto-Electronic Advances, 2024, 7(7): 240062.</w:t>
      </w:r>
    </w:p>
    <w:p>
      <w:pPr>
        <w:spacing w:after="10"/>
        <w:ind w:left="360" w:hanging="360"/>
      </w:pPr>
      <w:r>
        <w:rPr>
          <w:sz w:val="17"/>
        </w:rPr>
        <w:t>[8] Meng F, Ding J, Zhao Y, et al. Inverse design of reflectionless thin-film multilayers with optical absorption utilizing tandem neural network. Photonics, 2024, 11(10): 964.</w:t>
      </w:r>
    </w:p>
    <w:p>
      <w:pPr>
        <w:spacing w:after="10"/>
        <w:ind w:left="360" w:hanging="360"/>
      </w:pPr>
      <w:r>
        <w:rPr>
          <w:sz w:val="17"/>
        </w:rPr>
        <w:t>[9] Sullivan B T, Dobrowolski J A. Implementation of a numerical needle method for thin-film design. Applied Optics, 1996, 35(28): 5484-5492.</w:t>
      </w:r>
    </w:p>
    <w:p>
      <w:pPr>
        <w:spacing w:after="10"/>
        <w:ind w:left="360" w:hanging="360"/>
      </w:pPr>
      <w:r>
        <w:rPr>
          <w:sz w:val="17"/>
        </w:rPr>
        <w:t>[10] Hestness J, Narang S, Ardalani N, et al. Deep learning scaling is predictable, empirically. arXiv:1712.00409, 2017.</w:t>
      </w:r>
    </w:p>
    <w:p>
      <w:pPr>
        <w:spacing w:after="10"/>
        <w:ind w:left="360" w:hanging="360"/>
      </w:pPr>
      <w:r>
        <w:rPr>
          <w:sz w:val="17"/>
        </w:rPr>
        <w:t>[11] Harris C R, Millman K J, van der Walt S J, et al. Array programming with NumPy. Nature, 2020, 585: 357-362.</w:t>
      </w:r>
    </w:p>
    <w:p>
      <w:pPr>
        <w:spacing w:after="10"/>
        <w:ind w:left="360" w:hanging="360"/>
      </w:pPr>
      <w:r>
        <w:rPr>
          <w:sz w:val="17"/>
        </w:rPr>
        <w:t>[12] Paszke A, Gross S, Massa F, et al. PyTorch: an imperative style, high-performance deep learning library. In: Advances in Neural Information Processing Systems, 2019, 32: 8024-8035.</w:t>
      </w:r>
    </w:p>
    <w:sectPr w:rsidR="00FA6E5F" w:rsidSect="00034616">
      <w:headerReference w:type="default" r:id="rId11"/>
      <w:footerReference w:type="default" r:id="rId12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