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姓名：__________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65520" cy="274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5520" cy="274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48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4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40440" cy="420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0440" cy="42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12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1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组样本在目标波长处的反射率分布，橙色虚线为解析上限。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2.7×10⁴。损失为均方误差（MSE），优化器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8b）。可见误差的主导来源是训练样本在膜厚空间中的局部稀疏。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307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30759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，说明在给定采样间隔与网络容量下，继续增加均匀随机样本的收益有限。需说明的是，该拟合仅基于 4 个数据量水平、每个水平 3 个种子，α 应视为趋势性估计。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0.0008，逐层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line="254" w:lineRule="auto" w:after="20"/>
        <w:jc w:val="left"/>
      </w:pPr>
      <w:r>
        <w:rPr>
          <w:sz w:val="19"/>
        </w:rPr>
        <w:t>https://github.com/USERNAME/REPOSITORY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1" w:name="_Ref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learning. iScience 2025, 28: 112222.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2" w:name="_Ref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Macleod H A. Thin-film optical filters. 5th ed. Boca Raton: CRC Press, 2018.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3" w:name="_Ref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现代光学薄膜技术. 杭州: 浙江大学出版社, 2006.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4" w:name="_Ref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networks. Science Advances 2018, 4: eaar4206.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5" w:name="_Ref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structures. ACS Photonics 2018, 5: 1365-1369.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6" w:name="_Ref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learning. Light: Science &amp; Applications 2018, 7: 60.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7" w:name="_Ref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structures. Opto-Electronic Advances 2024, 7: 240062.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8" w:name="_Ref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Meng F, Ding J, Zhao Y, et al. Inverse design of reflectionless thin-film multilayers with optical absorption utilizing tandem neural network. Photonics 2024, 11: 964.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9" w:name="_Ref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design. Applied Optics 1996, 35: 5484-5492.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0" w:name="_Ref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empirically. arXiv:1712.00409, 2017.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1" w:name="_Ref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NumPy. Nature 2020, 585: 357-362.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2" w:name="_Ref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library. NeurIPS 2019, 32: 8024-8035.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