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49a10be3629d4bf9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6E5F" w:rsidRDefault="00000000" w14:paraId="6695A855" w14:textId="77777777">
      <w:pPr>
        <w:ind w:firstLine="0"/>
      </w:pPr>
      <w:r>
        <w:rPr>
          <w:b/>
          <w:color w:val="1F4E79"/>
          <w:sz w:val="18"/>
        </w:rPr>
        <w:t>RESEARCH ARTICLE</w:t>
      </w:r>
    </w:p>
    <w:p w:rsidR="00FA6E5F" w:rsidRDefault="00000000" w14:paraId="1667C083" w14:textId="77777777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:rsidR="00FA6E5F" w:rsidRDefault="00000000" w14:paraId="25513031" w14:textId="77777777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:rsidR="00FA6E5F" w:rsidRDefault="00000000" w14:paraId="36B29008" w14:textId="502E2E58">
      <w:pPr>
        <w:ind w:firstLine="0"/>
        <w:jc w:val="center"/>
      </w:pPr>
      <w:r>
        <w:rPr>
          <w:b w:val="0"/>
        </w:rPr>
        <w:t>姓名：__________    学号：2023303003</w:t>
      </w:r>
    </w:p>
    <w:p w:rsidR="00FA6E5F" w:rsidRDefault="00000000" w14:paraId="7B4C60A3" w14:textId="77777777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:rsidR="00FA6E5F" w:rsidRDefault="00000000" w14:paraId="3C245656" w14:textId="77777777">
      <w:pPr>
        <w:ind w:firstLine="0"/>
        <w:rPr>
          <w:lang w:eastAsia="zh-CN"/>
        </w:rPr>
      </w:pPr>
      <w:r>
        <w:rPr>
          <w:b w:val="0"/>
        </w:rPr>
        <w:t>摘要</w:t>
      </w:r>
    </w:p>
    <w:p w14:paraId="7B4C60A4" w14:textId="7B4C60A5">
      <w:pPr>
        <w:spacing w:after="20" w:line="254" w:lineRule="auto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 w14:paraId="7B4C60A6" w14:textId="7B4C60A7">
      <w:pPr>
        <w:pStyle w:val="1"/>
        <w:spacing w:before="120" w:after="40"/>
      </w:pPr>
      <w:r>
        <w:t>1. 引言</w:t>
      </w:r>
    </w:p>
    <w:p w14:paraId="7B4C60A8" w14:textId="7B4C60A9">
      <w:pPr>
        <w:spacing w:after="20" w:line="254" w:lineRule="auto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 w14:paraId="7B4C60AA" w14:textId="7B4C60AB">
      <w:pPr>
        <w:spacing w:after="20" w:line="254" w:lineRule="auto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 w14:paraId="7B4C60AC" w14:textId="7B4C60AD">
      <w:pPr>
        <w:spacing w:after="20" w:line="254" w:lineRule="auto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 w14:paraId="7B4C60AE" w14:textId="7B4C60AF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 w14:paraId="7B4C60B0" w14:textId="7B4C60B1">
      <w:pPr>
        <w:pStyle w:val="1"/>
        <w:spacing w:before="120" w:after="40"/>
      </w:pPr>
      <w:r>
        <w:t>2. 材料与方法</w:t>
      </w:r>
    </w:p>
    <w:p w14:paraId="7B4C60B2" w14:textId="7B4C60B3">
      <w:pPr>
        <w:pStyle w:val="21"/>
        <w:spacing w:before="100" w:after="20"/>
      </w:pPr>
      <w:r>
        <w:t>2.1 光学模型与传输矩阵法</w:t>
      </w:r>
    </w:p>
    <w:p w14:paraId="7B4C60B4" w14:textId="7B4C60B5">
      <w:pPr>
        <w:spacing w:after="20" w:line="254" w:lineRule="auto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 w14:paraId="7B4C60B6" w14:textId="7B4C60B7">
      <w:pPr>
        <w:spacing w:after="20" w:line="254" w:lineRule="auto"/>
        <w:ind w:firstLine="400"/>
        <w:jc w:val="both"/>
      </w:pPr>
      <w:r>
        <w:rPr>
          <w:sz w:val="20"/>
        </w:rPr>
        <w:t>第 i 层的位相厚度为</w:t>
      </w:r>
    </w:p>
    <w:p w14:paraId="7B4C6197" w14:textId="7B4C6198">
      <m:oMathPara>
        <m:oMath>
          <m:sSub>
            <m:e>
              <m:r>
                <m:t xml:space="preserve">δ</m:t>
              </m:r>
            </m:e>
            <m:sub>
              <m:r>
                <m:t xml:space="preserve">i</m:t>
              </m:r>
            </m:sub>
          </m:sSub>
          <m:r>
            <m:t xml:space="preserve"> = 2</m:t>
          </m:r>
          <m:r>
            <m:t xml:space="preserve">π</m:t>
          </m:r>
          <m:sSub>
            <m:e>
              <m:r>
                <m:t xml:space="preserve"> n</m:t>
              </m:r>
            </m:e>
            <m:sub>
              <m:r>
                <m:t xml:space="preserve">i</m:t>
              </m:r>
            </m:sub>
          </m:sSub>
          <m:sSub>
            <m:e>
              <m:r>
                <m:t xml:space="preserve"> d</m:t>
              </m:r>
            </m:e>
            <m:sub>
              <m:r>
                <m:t xml:space="preserve">i</m:t>
              </m:r>
            </m:sub>
          </m:sSub>
          <m:r>
            <m:t xml:space="preserve"> / </m:t>
          </m:r>
          <m:r>
            <m:t xml:space="preserve">λ</m:t>
          </m:r>
        </m:oMath>
      </m:oMathPara>
    </w:p>
    <w:p w14:paraId="7B4C60B9" w14:textId="7B4C60BA">
      <w:pPr>
        <w:spacing w:after="20" w:line="254" w:lineRule="auto"/>
        <w:ind w:firstLine="400"/>
        <w:jc w:val="both"/>
      </w:pPr>
      <w:r>
        <w:rPr>
          <w:sz w:val="20"/>
        </w:rPr>
        <w:t>其特征矩阵为</w:t>
      </w:r>
    </w:p>
    <w:p w14:paraId="7B4C60BB" w14:textId="7B4C60BC"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nor/>
                      </m:rPr>
                      <m:t xml:space="preserve">cos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</m:t>
                    </m:r>
                    <m:r>
                      <m:rPr>
                        <m:nor/>
                      </m:rPr>
                      <m:t xml:space="preserve">sin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nor/>
                      </m:rPr>
                      <m:t xml:space="preserve">sin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 xml:space="preserve">cos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 w14:paraId="7B4C60BD" w14:textId="7B4C60BE">
      <w:pPr>
        <w:spacing w:after="20" w:line="254" w:lineRule="auto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 w14:paraId="7B4C6199" w14:textId="7B4C619A">
      <m:oMathPara>
        <m:oMath>
          <m:r>
            <m:t xml:space="preserve">[</m:t>
          </m:r>
          <m:r>
            <m:t xml:space="preserve">B;</m:t>
          </m:r>
          <m:r>
            <m:t xml:space="preserve"> </m:t>
          </m:r>
          <m:r>
            <m:t xml:space="preserve">C</m:t>
          </m:r>
          <m:r>
            <m:t xml:space="preserve">]</m:t>
          </m:r>
          <m:r>
            <m:t xml:space="preserve"> = M</m:t>
          </m:r>
          <m:r>
            <m:t xml:space="preserve"> </m:t>
          </m:r>
          <m:r>
            <m:t xml:space="preserve">[</m:t>
          </m:r>
          <m:r>
            <m:t xml:space="preserve">1;</m:t>
          </m:r>
          <m:r>
            <m:t xml:space="preserve"> </m:t>
          </m:r>
          <m:sSub>
            <m:e>
              <m:r>
                <m:t xml:space="preserve">η</m:t>
              </m:r>
            </m:e>
            <m:sub>
              <m:r>
                <m:t xml:space="preserve">s</m:t>
              </m:r>
            </m:sub>
          </m:sSub>
          <m:r>
            <m:t xml:space="preserve">]</m:t>
          </m:r>
          <m:r>
            <m:t xml:space="preserve">,</m:t>
          </m:r>
          <m:r>
            <m:t xml:space="preserve"> </m:t>
          </m:r>
          <m:r>
            <m:t xml:space="preserve"> Y = C/B,</m:t>
          </m:r>
          <m:r>
            <m:t xml:space="preserve"> </m:t>
          </m:r>
          <m:r>
            <m:t xml:space="preserve"> r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t xml:space="preserve">0</m:t>
                  </m:r>
                </m:sub>
              </m:sSub>
              <m:r>
                <m:t xml:space="preserve"> - 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t xml:space="preserve">0</m:t>
                  </m:r>
                </m:sub>
              </m:sSub>
              <m:r>
                <m:t xml:space="preserve"> + Y</m:t>
              </m:r>
            </m:den>
          </m:f>
          <m:r>
            <m:t xml:space="preserve">,</m:t>
          </m:r>
          <m:r>
            <m:t xml:space="preserve"> </m:t>
          </m:r>
          <m:sSup>
            <m:e>
              <m:r>
                <m:t xml:space="preserve"> R = |r|</m:t>
              </m:r>
            </m:e>
            <m:sup>
              <m:r>
                <m:t xml:space="preserve">2</m:t>
              </m:r>
            </m:sup>
          </m:sSup>
        </m:oMath>
      </m:oMathPara>
    </w:p>
    <w:p w14:paraId="7B4C60C0" w14:textId="7B4C60C1">
      <w:pPr>
        <w:spacing w:after="20" w:line="254" w:lineRule="auto"/>
        <w:ind w:firstLine="400"/>
        <w:jc w:val="both"/>
      </w:pPr>
      <w:r>
        <w:rPr>
          <w:sz w:val="20"/>
        </w:rPr>
        <w:t>即由等效导纳 Y = C/B 得到反射系数 r 与反射率 R。</w:t>
      </w:r>
    </w:p>
    <w:p w14:paraId="7B4C60C2" w14:textId="7B4C60C3">
      <w:pPr>
        <w:spacing w:after="20" w:line="254" w:lineRule="auto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 w14:paraId="7B4C619B" w14:textId="7B4C619C">
      <m:oMathPara>
        <m:oMath>
          <m:r>
            <m:t xml:space="preserve">Y </m:t>
          </m:r>
          <m:r>
            <m:t xml:space="preserve">←</m:t>
          </m:r>
          <m:r>
            <m:t xml:space="preserve"> </m:t>
          </m:r>
          <m:f>
            <m:num>
              <m:r>
                <m:t xml:space="preserve">Y</m:t>
              </m:r>
              <m:r>
                <m:rPr>
                  <m:nor/>
                </m:rPr>
                <m:t xml:space="preserve">cos</m:t>
              </m:r>
              <m:r>
                <m:t xml:space="preserve">δ</m:t>
              </m:r>
              <m:r>
                <m:t xml:space="preserve"> + </m:t>
              </m:r>
              <m:r>
                <m:rPr>
                  <m:sty m:val="p"/>
                </m:rPr>
                <m:t xml:space="preserve">i</m:t>
              </m:r>
              <m:r>
                <m:t xml:space="preserve"> </m:t>
              </m:r>
              <m:r>
                <m:t xml:space="preserve">η</m:t>
              </m:r>
              <m:r>
                <m:rPr>
                  <m:nor/>
                </m:rPr>
                <m:t xml:space="preserve">sin</m:t>
              </m:r>
              <m:r>
                <m:t xml:space="preserve">δ</m:t>
              </m:r>
            </m:num>
            <m:den>
              <m:r>
                <m:rPr>
                  <m:nor/>
                </m:rPr>
                <m:t xml:space="preserve">cos</m:t>
              </m:r>
              <m:r>
                <m:t xml:space="preserve">δ</m:t>
              </m:r>
              <m:r>
                <m:t xml:space="preserve"> + </m:t>
              </m:r>
              <m:r>
                <m:rPr>
                  <m:sty m:val="p"/>
                </m:rPr>
                <m:t xml:space="preserve">i</m:t>
              </m:r>
              <m:r>
                <m:t xml:space="preserve"> </m:t>
              </m:r>
              <m:r>
                <m:t xml:space="preserve">(Y/</m:t>
              </m:r>
              <m:r>
                <m:t xml:space="preserve">η</m:t>
              </m:r>
              <m:r>
                <m:t xml:space="preserve">)</m:t>
              </m:r>
              <m:r>
                <m:rPr>
                  <m:nor/>
                </m:rPr>
                <m:t xml:space="preserve">sin</m:t>
              </m:r>
              <m:r>
                <m:t xml:space="preserve">δ</m:t>
              </m:r>
            </m:den>
          </m:f>
        </m:oMath>
      </m:oMathPara>
    </w:p>
    <w:p w14:paraId="7B4C60C5" w14:textId="7B4C60C6">
      <w:pPr>
        <w:spacing w:after="20" w:line="254" w:lineRule="auto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 w14:paraId="7B4C60C7" w14:textId="7B4C60C8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 w14:paraId="7B4C60C9" w14:textId="7B4C60CA">
      <w:pPr>
        <w:spacing w:after="20" w:line="254" w:lineRule="auto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组样本在目标波长处的反射率分布，橙色虚线为解析上限。</w:t>
      </w:r>
    </w:p>
    <w:p w14:paraId="7B4C60CB" w14:textId="7B4C60CC">
      <w:pPr>
        <w:pStyle w:val="21"/>
        <w:spacing w:before="100" w:after="20"/>
      </w:pPr>
      <w:r>
        <w:t>2.2 个人目标波长与随机种子</w:t>
      </w:r>
    </w:p>
    <w:p w14:paraId="7B4C60CD" w14:textId="7B4C60CE">
      <w:pPr>
        <w:spacing w:after="20" w:line="254" w:lineRule="auto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 w14:paraId="7B4C60CF" w14:textId="7B4C60D0">
      <w:pPr>
        <w:pStyle w:val="21"/>
        <w:spacing w:before="100" w:after="20"/>
      </w:pPr>
      <w:r>
        <w:t>2.3 数据集生成</w:t>
      </w:r>
    </w:p>
    <w:p w14:paraId="7B4C60D1" w14:textId="7B4C60D2">
      <w:pPr>
        <w:spacing w:after="20" w:line="254" w:lineRule="auto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 w14:paraId="7B4C60D3" w14:textId="7B4C60D4">
      <w:pPr>
        <w:pStyle w:val="21"/>
        <w:spacing w:before="100" w:after="20"/>
      </w:pPr>
      <w:r>
        <w:t>2.4 MLP 代理模型</w:t>
      </w:r>
    </w:p>
    <w:p w14:paraId="7B4C60D5" w14:textId="7B4C60D6">
      <w:pPr>
        <w:spacing w:after="20" w:line="254" w:lineRule="auto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 w14:paraId="7B4C60D7" w14:textId="7B4C60D8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 w14:paraId="7B4C60D9" w14:textId="7B4C60DA">
      <w:pPr>
        <w:pStyle w:val="21"/>
        <w:spacing w:before="100" w:after="20"/>
      </w:pPr>
      <w:r>
        <w:t>2.5 训练数据量实验</w:t>
      </w:r>
    </w:p>
    <w:p w14:paraId="7B4C60DB" w14:textId="7B4C60DC">
      <w:pPr>
        <w:spacing w:after="20" w:line="254" w:lineRule="auto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 w14:paraId="7B4C60DD" w14:textId="7B4C60DE">
      <w:pPr>
        <w:pStyle w:val="21"/>
        <w:spacing w:before="100" w:after="20"/>
      </w:pPr>
      <w:r>
        <w:t>2.6 MLP 辅助薄膜筛选</w:t>
      </w:r>
    </w:p>
    <w:p w14:paraId="7B4C60DF" w14:textId="7B4C60E0">
      <w:pPr>
        <w:spacing w:after="20" w:line="254" w:lineRule="auto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 w14:paraId="7B4C60E1" w14:textId="7B4C60E2">
      <w:pPr>
        <w:pStyle w:val="1"/>
        <w:spacing w:before="120" w:after="40"/>
      </w:pPr>
      <w:r>
        <w:t>3. 结果</w:t>
      </w:r>
    </w:p>
    <w:p w14:paraId="7B4C60E3" w14:textId="7B4C60E4">
      <w:pPr>
        <w:pStyle w:val="21"/>
        <w:spacing w:before="100" w:after="20"/>
      </w:pPr>
      <w:r>
        <w:t>3.1 训练与光谱预测</w:t>
      </w:r>
    </w:p>
    <w:p w14:paraId="7B4C60E5" w14:textId="7B4C60E6">
      <w:pPr>
        <w:spacing w:after="20" w:line="254" w:lineRule="auto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 w14:paraId="7B4C60E7" w14:textId="7B4C60E8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 w14:paraId="7B4C60E9" w14:textId="7B4C60EA">
      <w:pPr>
        <w:spacing w:after="20" w:line="254" w:lineRule="auto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 w14:paraId="7B4C60EB" w14:textId="7B4C60EC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 w14:paraId="7B4C60ED" w14:textId="7B4C60EE">
      <w:pPr>
        <w:spacing w:after="20" w:line="254" w:lineRule="auto"/>
        <w:ind w:firstLine="400"/>
        <w:jc w:val="both"/>
      </w:pPr>
      <w:r>
        <w:rPr>
          <w:sz w:val="20"/>
        </w:rPr>
        <w:t>(d) 目标波长处的预测—真值散点。</w:t>
      </w:r>
    </w:p>
    <w:p w14:paraId="7B4C60EF" w14:textId="7B4C60F0">
      <w:pPr>
        <w:pStyle w:val="21"/>
        <w:spacing w:before="100" w:after="20"/>
      </w:pPr>
      <w:r>
        <w:t>3.2 训练数据量的影响</w:t>
      </w:r>
    </w:p>
    <w:p w14:paraId="7B4C60F1" w14:textId="7B4C60F2">
      <w:pPr>
        <w:spacing w:after="20" w:line="254" w:lineRule="auto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 w14:paraId="7B4C60F3" w14:textId="7B4C60F4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 w14:paraId="7B4C60F5" w14:textId="7B4C60F6">
      <w:pPr>
        <w:pStyle w:val="21"/>
        <w:spacing w:before="100" w:after="20"/>
      </w:pPr>
      <w:r>
        <w:t>3.3 MLP 辅助薄膜设计</w:t>
      </w:r>
    </w:p>
    <w:p w14:paraId="7B4C60F7" w14:textId="7B4C60F8">
      <w:pPr>
        <w:spacing w:after="20" w:line="254" w:lineRule="auto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 w14:paraId="7B4C60F9" w14:textId="7B4C60FA">
      <w:pPr>
        <w:spacing w:after="20" w:line="254" w:lineRule="auto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 w14:paraId="7B4C60FB" w14:textId="7B4C60FC">
      <w:pPr>
        <w:spacing w:after="20" w:line="254" w:lineRule="auto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 w14:paraId="7B4C60FD" w14:textId="7B4C60FE">
      <w:pPr>
        <w:spacing w:after="20" w:line="254" w:lineRule="auto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 w14:paraId="7B4C60FF" w14:textId="7B4C6100">
      <w:pPr>
        <w:spacing w:after="20" w:line="254" w:lineRule="auto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 w14:paraId="7B4C6101" w14:textId="7B4C6102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 w14:paraId="7B4C6103" w14:textId="7B4C6104">
      <w:pPr>
        <w:spacing w:after="20" w:line="254" w:lineRule="auto"/>
        <w:ind w:firstLine="400"/>
        <w:jc w:val="both"/>
      </w:pPr>
      <w:r>
        <w:rPr>
          <w:sz w:val="20"/>
        </w:rPr>
        <w:t>(b) 10000 组候选的预测—真值排名一致性。</w:t>
      </w:r>
    </w:p>
    <w:p w14:paraId="7B4C6105" w14:textId="7B4C6106">
      <w:pPr>
        <w:pStyle w:val="21"/>
        <w:spacing w:before="100" w:after="20"/>
      </w:pPr>
      <w:r>
        <w:t>3.4 代表性失败案例与误差来源</w:t>
      </w:r>
    </w:p>
    <w:p w14:paraId="7B4C6107" w14:textId="7B4C6108">
      <w:pPr>
        <w:spacing w:after="20" w:line="254" w:lineRule="auto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 w14:paraId="7B4C6109" w14:textId="7B4C610A">
      <w:pPr>
        <w:spacing w:after="20" w:line="254" w:lineRule="auto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 w14:paraId="7B4C610B" w14:textId="7B4C610C"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307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3075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光谱；</w:t>
      </w:r>
    </w:p>
    <w:p w14:paraId="7B4C610D" w14:textId="7B4C610E">
      <w:pPr>
        <w:spacing w:after="20" w:line="254" w:lineRule="auto"/>
        <w:ind w:firstLine="400"/>
        <w:jc w:val="both"/>
      </w:pPr>
      <w:r>
        <w:rPr>
          <w:sz w:val="20"/>
        </w:rPr>
        <w:t>(b) 逐样本误差与局部采样密度的关系。</w:t>
      </w:r>
    </w:p>
    <w:p w14:paraId="7B4C610F" w14:textId="7B4C6110"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color="000000" w:sz="12"/>
          <w:bottom w:val="single" w:color="000000" w:sz="12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w="1425" w:type="dxa"/>
            <w:tcBorders>
              <w:bottom w:val="single" w:color="000000" w:sz="6"/>
            </w:tcBorders>
          </w:tcPr>
          <w:p w14:paraId="7B4C6111" w14:textId="7B4C6112"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3" w14:textId="7B4C6114"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5" w14:textId="7B4C6116"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7" w14:textId="7B4C6118"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9" w14:textId="7B4C611A"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B" w14:textId="7B4C611C"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w="1425" w:type="dxa"/>
            <w:tcBorders>
              <w:bottom w:val="single" w:color="000000" w:sz="6"/>
            </w:tcBorders>
          </w:tcPr>
          <w:p w14:paraId="7B4C611D" w14:textId="7B4C611E"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w="1425" w:type="dxa"/>
          </w:tcPr>
          <w:p w14:paraId="7B4C611F" w14:textId="7B4C6120"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w="1425" w:type="dxa"/>
          </w:tcPr>
          <w:p w14:paraId="7B4C6121" w14:textId="7B4C6122"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w="1425" w:type="dxa"/>
          </w:tcPr>
          <w:p w14:paraId="7B4C6123" w14:textId="7B4C6124"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w="1425" w:type="dxa"/>
          </w:tcPr>
          <w:p w14:paraId="7B4C6125" w14:textId="7B4C6126"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w="1425" w:type="dxa"/>
          </w:tcPr>
          <w:p w14:paraId="7B4C6127" w14:textId="7B4C6128"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w="1425" w:type="dxa"/>
          </w:tcPr>
          <w:p w14:paraId="7B4C6129" w14:textId="7B4C612A"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w="1425" w:type="dxa"/>
          </w:tcPr>
          <w:p w14:paraId="7B4C612B" w14:textId="7B4C612C"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w="1425" w:type="dxa"/>
          </w:tcPr>
          <w:p w14:paraId="7B4C612D" w14:textId="7B4C612E"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w="1425" w:type="dxa"/>
          </w:tcPr>
          <w:p w14:paraId="7B4C612F" w14:textId="7B4C6130"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w="1425" w:type="dxa"/>
          </w:tcPr>
          <w:p w14:paraId="7B4C6131" w14:textId="7B4C6132"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w="1425" w:type="dxa"/>
          </w:tcPr>
          <w:p w14:paraId="7B4C6133" w14:textId="7B4C6134"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w="1425" w:type="dxa"/>
          </w:tcPr>
          <w:p w14:paraId="7B4C6135" w14:textId="7B4C6136"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w="1425" w:type="dxa"/>
          </w:tcPr>
          <w:p w14:paraId="7B4C6137" w14:textId="7B4C6138"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w="1425" w:type="dxa"/>
          </w:tcPr>
          <w:p w14:paraId="7B4C6139" w14:textId="7B4C613A"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w="1425" w:type="dxa"/>
          </w:tcPr>
          <w:p w14:paraId="7B4C613B" w14:textId="7B4C613C"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w="1425" w:type="dxa"/>
          </w:tcPr>
          <w:p w14:paraId="7B4C613D" w14:textId="7B4C613E"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w="1425" w:type="dxa"/>
          </w:tcPr>
          <w:p w14:paraId="7B4C613F" w14:textId="7B4C6140"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w="1425" w:type="dxa"/>
          </w:tcPr>
          <w:p w14:paraId="7B4C6141" w14:textId="7B4C6142"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w="1425" w:type="dxa"/>
          </w:tcPr>
          <w:p w14:paraId="7B4C6143" w14:textId="7B4C6144"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w="1425" w:type="dxa"/>
          </w:tcPr>
          <w:p w14:paraId="7B4C6145" w14:textId="7B4C6146"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w="1425" w:type="dxa"/>
          </w:tcPr>
          <w:p w14:paraId="7B4C6147" w14:textId="7B4C6148"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w="1425" w:type="dxa"/>
          </w:tcPr>
          <w:p w14:paraId="7B4C6149" w14:textId="7B4C614A"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w="1425" w:type="dxa"/>
          </w:tcPr>
          <w:p w14:paraId="7B4C614B" w14:textId="7B4C614C"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w="1425" w:type="dxa"/>
          </w:tcPr>
          <w:p w14:paraId="7B4C614D" w14:textId="7B4C614E"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w="1425" w:type="dxa"/>
          </w:tcPr>
          <w:p w14:paraId="7B4C614F" w14:textId="7B4C6150"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w="1425" w:type="dxa"/>
          </w:tcPr>
          <w:p w14:paraId="7B4C6151" w14:textId="7B4C6152"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w="1425" w:type="dxa"/>
          </w:tcPr>
          <w:p w14:paraId="7B4C6153" w14:textId="7B4C6154"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w="1425" w:type="dxa"/>
          </w:tcPr>
          <w:p w14:paraId="7B4C6155" w14:textId="7B4C6156"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w="1425" w:type="dxa"/>
          </w:tcPr>
          <w:p w14:paraId="7B4C6157" w14:textId="7B4C6158"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w="1425" w:type="dxa"/>
          </w:tcPr>
          <w:p w14:paraId="7B4C6159" w14:textId="7B4C615A"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w="1425" w:type="dxa"/>
          </w:tcPr>
          <w:p w14:paraId="7B4C615B" w14:textId="7B4C615C"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w="1425" w:type="dxa"/>
          </w:tcPr>
          <w:p w14:paraId="7B4C615D" w14:textId="7B4C615E"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w="1425" w:type="dxa"/>
          </w:tcPr>
          <w:p w14:paraId="7B4C615F" w14:textId="7B4C6160"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w="1425" w:type="dxa"/>
          </w:tcPr>
          <w:p w14:paraId="7B4C6161" w14:textId="7B4C6162"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w="1425" w:type="dxa"/>
          </w:tcPr>
          <w:p w14:paraId="7B4C6163" w14:textId="7B4C6164"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 w14:paraId="7B4C6165" w14:textId="7B4C6166">
      <w:pPr>
        <w:pStyle w:val="1"/>
        <w:spacing w:before="120" w:after="40"/>
      </w:pPr>
      <w:r>
        <w:t>4. 讨论</w:t>
      </w:r>
    </w:p>
    <w:p w14:paraId="7B4C6167" w14:textId="7B4C6168">
      <w:pPr>
        <w:spacing w:after="20" w:line="254" w:lineRule="auto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 w14:paraId="7B4C6169" w14:textId="7B4C616A">
      <w:pPr>
        <w:spacing w:after="20" w:line="254" w:lineRule="auto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，说明在给定采样间隔与网络容量下，继续增加均匀随机样本的收益有限。需说明的是，该拟合仅基于 4 个数据量水平、每个水平 3 个种子，α 应视为趋势性估计。</w:t>
      </w:r>
    </w:p>
    <w:p w14:paraId="7B4C616B" w14:textId="7B4C616C">
      <w:pPr>
        <w:spacing w:after="20" w:line="254" w:lineRule="auto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 w14:paraId="7B4C616D" w14:textId="7B4C616E">
      <w:pPr>
        <w:spacing w:after="20" w:line="254" w:lineRule="auto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 w14:paraId="7B4C616F" w14:textId="7B4C6170">
      <w:pPr>
        <w:pStyle w:val="1"/>
        <w:spacing w:before="120" w:after="40"/>
      </w:pPr>
      <w:r>
        <w:t>5. 结论</w:t>
      </w:r>
    </w:p>
    <w:p w14:paraId="7B4C6171" w14:textId="7B4C6172">
      <w:pPr>
        <w:spacing w:after="20" w:line="254" w:lineRule="auto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 w14:paraId="7B4C6173" w14:textId="7B4C6174">
      <w:pPr>
        <w:pStyle w:val="1"/>
        <w:spacing w:before="120" w:after="40"/>
      </w:pPr>
      <w:r>
        <w:t>数据与代码可用性</w:t>
      </w:r>
    </w:p>
    <w:p w14:paraId="7B4C6175" w14:textId="7B4C6176">
      <w:pPr>
        <w:spacing w:after="20" w:line="254" w:lineRule="auto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 w14:paraId="7B4C6177" w14:textId="7B4C6178">
      <w:pPr>
        <w:spacing w:after="20" w:line="254" w:lineRule="auto"/>
        <w:jc w:val="left"/>
      </w:pPr>
      <w:r>
        <w:rPr>
          <w:sz w:val="19"/>
        </w:rPr>
        <w:t>https://github.com/USERNAME/REPOSITORY</w:t>
      </w:r>
    </w:p>
    <w:p w14:paraId="7B4C6179" w14:textId="7B4C617A">
      <w:pPr>
        <w:spacing w:after="20" w:line="254" w:lineRule="auto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 w14:paraId="7B4C617B" w14:textId="7B4C617C"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 w14:paraId="7B4C617D" w14:textId="7B4C617E">
      <w:pPr>
        <w:pStyle w:val="1"/>
        <w:spacing w:before="120" w:after="40"/>
      </w:pPr>
      <w:r>
        <w:t>参考文献</w:t>
      </w:r>
    </w:p>
    <w:p w14:paraId="7B4C617F" w14:textId="7B4C6180">
      <w:pPr>
        <w:spacing w:after="4"/>
        <w:ind w:left="300" w:hanging="300"/>
      </w:pPr>
      <w:r>
        <w:rPr>
          <w:sz w:val="14"/>
        </w:rPr>
        <w:t>[</w:t>
      </w:r>
      <w:bookmarkStart w:name="_Ref1" w:id="100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learning. iScience 2025, 28: 112222.</w:t>
      </w:r>
    </w:p>
    <w:p w14:paraId="7B4C6181" w14:textId="7B4C6182">
      <w:pPr>
        <w:spacing w:after="4"/>
        <w:ind w:left="300" w:hanging="300"/>
      </w:pPr>
      <w:r>
        <w:rPr>
          <w:sz w:val="14"/>
        </w:rPr>
        <w:t>[</w:t>
      </w:r>
      <w:bookmarkStart w:name="_Ref2" w:id="100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Macleod H A. Thin-film optical filters. 5th ed. Boca Raton: CRC Press, 2018.</w:t>
      </w:r>
    </w:p>
    <w:p w14:paraId="7B4C6183" w14:textId="7B4C6184">
      <w:pPr>
        <w:spacing w:after="4"/>
        <w:ind w:left="300" w:hanging="300"/>
      </w:pPr>
      <w:r>
        <w:rPr>
          <w:sz w:val="14"/>
        </w:rPr>
        <w:t>[</w:t>
      </w:r>
      <w:bookmarkStart w:name="_Ref3" w:id="100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现代光学薄膜技术. 杭州: 浙江大学出版社, 2006.</w:t>
      </w:r>
    </w:p>
    <w:p w14:paraId="7B4C6185" w14:textId="7B4C6186">
      <w:pPr>
        <w:spacing w:after="4"/>
        <w:ind w:left="300" w:hanging="300"/>
      </w:pPr>
      <w:r>
        <w:rPr>
          <w:sz w:val="14"/>
        </w:rPr>
        <w:t>[</w:t>
      </w:r>
      <w:bookmarkStart w:name="_Ref4" w:id="100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networks. Science Advances 2018, 4: eaar4206.</w:t>
      </w:r>
    </w:p>
    <w:p w14:paraId="7B4C6187" w14:textId="7B4C6188">
      <w:pPr>
        <w:spacing w:after="4"/>
        <w:ind w:left="300" w:hanging="300"/>
      </w:pPr>
      <w:r>
        <w:rPr>
          <w:sz w:val="14"/>
        </w:rPr>
        <w:t>[</w:t>
      </w:r>
      <w:bookmarkStart w:name="_Ref5" w:id="100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structures. ACS Photonics 2018, 5: 1365-1369.</w:t>
      </w:r>
    </w:p>
    <w:p w14:paraId="7B4C6189" w14:textId="7B4C618A">
      <w:pPr>
        <w:spacing w:after="4"/>
        <w:ind w:left="300" w:hanging="300"/>
      </w:pPr>
      <w:r>
        <w:rPr>
          <w:sz w:val="14"/>
        </w:rPr>
        <w:t>[</w:t>
      </w:r>
      <w:bookmarkStart w:name="_Ref6" w:id="100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learning. Light: Science &amp; Applications 2018, 7: 60.</w:t>
      </w:r>
    </w:p>
    <w:p w14:paraId="7B4C618B" w14:textId="7B4C618C">
      <w:pPr>
        <w:spacing w:after="4"/>
        <w:ind w:left="300" w:hanging="300"/>
      </w:pPr>
      <w:r>
        <w:rPr>
          <w:sz w:val="14"/>
        </w:rPr>
        <w:t>[</w:t>
      </w:r>
      <w:bookmarkStart w:name="_Ref7" w:id="100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structures. Opto-Electronic Advances 2024, 7: 240062.</w:t>
      </w:r>
    </w:p>
    <w:p w14:paraId="7B4C618D" w14:textId="7B4C618E">
      <w:pPr>
        <w:spacing w:after="4"/>
        <w:ind w:left="300" w:hanging="300"/>
      </w:pPr>
      <w:r>
        <w:rPr>
          <w:sz w:val="14"/>
        </w:rPr>
        <w:t>[</w:t>
      </w:r>
      <w:bookmarkStart w:name="_Ref8" w:id="100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Meng F, Ding J, Zhao Y, et al. Inverse design of reflectionless thin-film multilayers with optical absorption utilizing tandem neural network. Photonics 2024, 11: 964.</w:t>
      </w:r>
    </w:p>
    <w:p w14:paraId="7B4C618F" w14:textId="7B4C6190">
      <w:pPr>
        <w:spacing w:after="4"/>
        <w:ind w:left="300" w:hanging="300"/>
      </w:pPr>
      <w:r>
        <w:rPr>
          <w:sz w:val="14"/>
        </w:rPr>
        <w:t>[</w:t>
      </w:r>
      <w:bookmarkStart w:name="_Ref9" w:id="100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design. Applied Optics 1996, 35: 5484-5492.</w:t>
      </w:r>
    </w:p>
    <w:p w14:paraId="7B4C6191" w14:textId="7B4C6192">
      <w:pPr>
        <w:spacing w:after="4"/>
        <w:ind w:left="300" w:hanging="300"/>
      </w:pPr>
      <w:r>
        <w:rPr>
          <w:sz w:val="14"/>
        </w:rPr>
        <w:t>[</w:t>
      </w:r>
      <w:bookmarkStart w:name="_Ref10" w:id="10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empirically. arXiv:1712.00409, 2017.</w:t>
      </w:r>
    </w:p>
    <w:p w14:paraId="7B4C6193" w14:textId="7B4C6194">
      <w:pPr>
        <w:spacing w:after="4"/>
        <w:ind w:left="300" w:hanging="300"/>
      </w:pPr>
      <w:r>
        <w:rPr>
          <w:sz w:val="14"/>
        </w:rPr>
        <w:t>[</w:t>
      </w:r>
      <w:bookmarkStart w:name="_Ref11" w:id="10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NumPy. Nature 2020, 585: 357-362.</w:t>
      </w:r>
    </w:p>
    <w:p w14:paraId="7B4C6195" w14:textId="7B4C6196">
      <w:pPr>
        <w:spacing w:after="4"/>
        <w:ind w:left="300" w:hanging="300"/>
      </w:pPr>
      <w:r>
        <w:rPr>
          <w:sz w:val="14"/>
        </w:rPr>
        <w:t>[</w:t>
      </w:r>
      <w:bookmarkStart w:name="_Ref12" w:id="10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library. NeurIPS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space="280" w:num="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133A" w:rsidRDefault="0083133A" w14:paraId="0DE75B0A" w14:textId="77777777">
      <w:pPr>
        <w:spacing w:after="0" w:line="240" w:lineRule="auto"/>
      </w:pPr>
      <w:r>
        <w:separator/>
      </w:r>
    </w:p>
  </w:endnote>
  <w:endnote w:type="continuationSeparator" w:id="0">
    <w:p w:rsidR="0083133A" w:rsidRDefault="0083133A" w14:paraId="2AA386B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6E5F" w:rsidRDefault="00000000" w14:paraId="3BEE2157" w14:textId="77777777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133A" w:rsidRDefault="0083133A" w14:paraId="41C6EE2F" w14:textId="77777777">
      <w:pPr>
        <w:spacing w:after="0" w:line="240" w:lineRule="auto"/>
      </w:pPr>
      <w:r>
        <w:separator/>
      </w:r>
    </w:p>
  </w:footnote>
  <w:footnote w:type="continuationSeparator" w:id="0">
    <w:p w:rsidR="0083133A" w:rsidRDefault="0083133A" w14:paraId="77FDCDA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6E5F" w:rsidRDefault="00000000" w14:paraId="0A520FB4" w14:textId="77777777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hAnsi="Times New Roman" w:eastAsia="Noto Sans CJK S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hAnsiTheme="majorHAnsi" w:eastAsiaTheme="majorEastAsia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1.0.152</vt:lpwstr>
  </op:property>
  <op:property fmtid="{D5CDD505-2E9C-101B-9397-08002B2CF9AE}" pid="3" name="OfficeCLI.LastModified">
    <vt:lpwstr xmlns:vt="http://schemas.openxmlformats.org/officeDocument/2006/docPropsVTypes">2026-09-29T12:55:00Z</vt:lpwstr>
  </op:property>
</op:Properties>
</file>