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幂律下降且边际收益递减；容量对照表明网络容量与膜厚空间的局部采样稀疏（r = 0.370）共同限制精度，而非波长采样。10000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分位。作为对照，若完全不用代理模型、从同一候选池随机抽取同样 10 组（独立重复 10⁵ 次），其最优者 R 的均值为 0.5702、99 分位为 0.6519；MLP 所选高出随机均值 0.0876，随机取片超过它的概率仅 0.12%，说明增益来自代理模型本身而非候选池的先天质量。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8b）。但采样密度只解释了 0.137 的方差，故还需检验网络容量：在与基准完全相同的训练数据与超参数下，把参数量从 2.8×10⁴ 降到 2.4×10³，测试 MSE 升至基准的 9.1 倍；增至 1.1×10⁵，则再降 58%（R² = 0.9991）。可见容量不足会系统性抬高误差，容量充足时膜厚空间的局部采样稀疏才成为主导因素。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倍冗余），而是训练样本在四维膜厚空间中的局部稀疏与网络容量：第 10 近邻距离与误差的相关系数为 0.370，最稀疏组误差比最密集组高 48%；在相同训练预算下把参数量增至 1.1×10⁵，测试 MSE 再降 58%。这有直接的可操作性：既可在误差较大的区域补充样本，适度增大网络容量也仍有收益。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，说明在固定网络容量下继续增加均匀随机样本的收益有限；而容量本身是可调自由度，前节的容量对照表明它在当前规模下仍有可观收益。需说明的是，该拟合仅基于 4 个数据量水平、每个水平 3 个种子，全部在固定容量下完成，α 应视为固定容量下的趋势性估计。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本研究有四点局限。第一，采样密度只解释了误差方差的 0.137；容量对照已确认容量是其中一项重要因素，其余来源（如优化随机性、谱形复杂度）尚未定位。第二，局部加密实验中的加密样本与高反射测试集取自同一分布（σ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3">
        <w:r>
          <w:rPr>
            <w:color w:val="0563C1"/>
            <w:u w:val="single"/>
            <w:sz w:val="19"/>
          </w:rPr>
          <w:t xml:space="preserve">https://github.com/Amao0333/ai4s-mlp-thinfilm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hyperlink" Target="https://github.com/Amao0333/ai4s-mlp-thinfi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