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姓名：林创锐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幂律下降且边际收益递减，主因是膜厚空间的局部采样稀疏（r = 0.370）而非波长采样。10000 组候选中，MLP 排序与 TMM 真值的相关系数为 0.9983；所选设计经 TMM 复核达四分之一波长上限 0.6589 的 99.8%。代理模型可快速压缩候选规模，最终须由 TMM 复核。</w:t>
      </w:r>
    </w:p>
    <w:p>
      <w:pPr>
        <w:spacing w:line="254" w:lineRule="auto" w:after="20"/>
        <w:jc w:val="both"/>
      </w:pPr>
      <w:r>
        <w:rPr>
          <w:sz w:val="20"/>
        </w:rPr>
        <w:t>关键词 光学薄膜；传输矩阵法；多层感知机；代理模型；逆向设计；AI for Science</w:t>
      </w:r>
    </w:p>
    <w:p>
      <w:pPr>
        <w:pStyle w:val="1"/>
        <w:spacing w:before="120" w:after="40"/>
      </w:pPr>
      <w:r>
        <w:t>1. 引言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多层介质薄膜由高、低折射率材料交替堆叠而成，其反射特性来自各界面反射光之间的干涉；在正入射、无吸收、忽略色散的条件下，给定各层折射率与厚度，光谱响应即完全确定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反之，要在某波长获得特定反射率则需确定各层厚度，这是多变量、非线性的设计问题。四分之一波长条件给出了经典解，但膜厚的周期性与光谱的多峰特性使"厚度—光谱"映射呈现强非线性，传统优化算法（如针式法）需要大量迭代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_Ref3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3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。单条光谱的计算开销很小，但当设计流程需要评估上万组候选结构时，累积代价迅速上升；若再考虑色散、斜入射与吸收，单次前向计算的成本还会显著增加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_Ref5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5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_Ref6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6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，这正是 AI for Science 的典型范式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_Ref4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4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。这一思路已在多层膜体系中以串联网络、序列生成等不同形式实现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_Ref7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7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_Ref8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8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，而荧光等纳米结构的光谱—结构双向映射也验证了其可行性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_Ref9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9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96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96291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>
      <w:pPr>
        <w:pStyle w:val="1"/>
        <w:spacing w:before="120" w:after="40"/>
      </w:pPr>
      <w:r>
        <w:t>2. 材料与方法</w:t>
      </w:r>
    </w:p>
    <w:p>
      <w:pPr>
        <w:pStyle w:val="21"/>
        <w:spacing w:before="100" w:after="20"/>
      </w:pPr>
      <w:r>
        <w:t>2.1 光学模型与传输矩阵法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</w:t>
      </w:r>
      <w:r>
        <w:rPr>
          <w:sz w:val="20"/>
          <w:vertAlign w:val="subscript"/>
        </w:rPr>
        <w:t>H</w:t>
      </w:r>
      <w:r>
        <w:rPr>
          <w:sz w:val="20"/>
        </w:rPr>
        <w:t xml:space="preserve"> = 2.30 与 n</w:t>
      </w:r>
      <w:r>
        <w:rPr>
          <w:sz w:val="20"/>
          <w:vertAlign w:val="subscript"/>
        </w:rPr>
        <w:t>L</w:t>
      </w:r>
      <w:r>
        <w:rPr>
          <w:sz w:val="20"/>
        </w:rPr>
        <w:t xml:space="preserve"> = 1.45，基底 n</w:t>
      </w:r>
      <w:r>
        <w:rPr>
          <w:sz w:val="20"/>
          <w:vertAlign w:val="subscript"/>
        </w:rPr>
        <w:t>s</w:t>
      </w:r>
      <w:r>
        <w:rPr>
          <w:sz w:val="20"/>
        </w:rPr>
        <w:t xml:space="preserve"> = 1.52，入射介质为空气 n</w:t>
      </w:r>
      <w:r>
        <w:rPr>
          <w:sz w:val="20"/>
          <w:vertAlign w:val="subscript"/>
        </w:rPr>
        <w:t>0</w:t>
      </w:r>
      <w:r>
        <w:rPr>
          <w:sz w:val="20"/>
        </w:rPr>
        <w:t xml:space="preserve"> = 1.00；每层膜厚 40–180 nm，波长 400–800 nm、步长 10 nm，共 41 点。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 i 层的位相厚度为</w:t>
      </w:r>
    </w:p>
    <w:p>
      <m:oMathPara>
        <m:oMath>
          <m:sSub>
            <m:e>
              <m:r>
                <m:t xml:space="preserve">δ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 = 2π</m:t>
          </m:r>
          <m:sSub>
            <m:e>
              <m:r>
                <m:t xml:space="preserve">n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sSub>
            <m:e>
              <m:r>
                <m:t xml:space="preserve">d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t xml:space="preserve">/</m:t>
          </m:r>
          <m:r>
            <m:t xml:space="preserve">λ</m:t>
          </m:r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其特征矩阵为</w:t>
      </w:r>
    </w:p>
    <w:p>
      <m:oMathPara>
        <m:oMath>
          <m:sSub>
            <m:e>
              <m:r>
                <m:t xml:space="preserve">M</m:t>
              </m:r>
            </m:e>
            <m:sub>
              <m:r>
                <m:rPr>
                  <m:sty m:val="p"/>
                </m:rPr>
                <m:t xml:space="preserve">i</m:t>
              </m:r>
            </m:sub>
          </m:sSub>
          <m:r>
            <m:rPr>
              <m:sty m:val="p"/>
            </m:rPr>
            <m:t xml:space="preserve"> = </m:t>
          </m:r>
          <m:d>
            <m:dPr/>
            <m:e>
              <m:m>
                <m:mPr/>
                <m:mr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i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/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 xml:space="preserve">i </m:t>
                    </m:r>
                    <m:sSub>
                      <m:e>
                        <m:r>
                          <m:t xml:space="preserve">η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  <m:r>
                      <m:rPr>
                        <m:sty m:val="p"/>
                      </m:rPr>
                      <m:t xml:space="preserve"> </m:t>
                    </m:r>
                    <m:r>
                      <m:rPr>
                        <m:sty m:val="p"/>
                      </m:rPr>
                      <m:t xml:space="preserve">sin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 xml:space="preserve">cos </m:t>
                    </m:r>
                    <m:sSub>
                      <m:e>
                        <m:r>
                          <m:t xml:space="preserve">δ</m:t>
                        </m:r>
                      </m:e>
                      <m:sub>
                        <m:r>
                          <m:rPr>
                            <m:sty m:val="p"/>
                          </m:rPr>
                          <m:t xml:space="preserve">i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其中正入射下光学导纳 η</w:t>
      </w:r>
      <w:r>
        <w:rPr>
          <w:sz w:val="20"/>
          <w:vertAlign w:val="subscript"/>
        </w:rPr>
        <w:t>i</w:t>
      </w:r>
      <w:r>
        <w:rPr>
          <w:sz w:val="20"/>
        </w:rPr>
        <w:t xml:space="preserve"> = n</w:t>
      </w:r>
      <w:r>
        <w:rPr>
          <w:sz w:val="20"/>
          <w:vertAlign w:val="subscript"/>
        </w:rPr>
        <w:t>i</w:t>
      </w:r>
      <w:r>
        <w:rPr>
          <w:sz w:val="20"/>
        </w:rPr>
        <w:t>（自由空间单位）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,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。整个膜系的特征矩阵为各层矩阵按入射到出射顺序的连乘 M = M₁M₂M₃M₄，由</w:t>
      </w:r>
    </w:p>
    <w:p>
      <m:oMathPara>
        <m:oMath>
          <m:r>
            <m:rPr>
              <m:sty m:val="p"/>
            </m:rPr>
            <m:t xml:space="preserve">[B; C] = </m:t>
          </m:r>
          <m:r>
            <m:t xml:space="preserve">M</m:t>
          </m:r>
          <m:r>
            <m:rPr>
              <m:sty m:val="p"/>
            </m:rPr>
            <m:t xml:space="preserve"> [1; </m:t>
          </m:r>
          <m:sSub>
            <m:e>
              <m:r>
                <m:t xml:space="preserve">η</m:t>
              </m:r>
            </m:e>
            <m:sub>
              <m:r>
                <m:rPr>
                  <m:sty m:val="p"/>
                </m:rPr>
                <m:t xml:space="preserve">s</m:t>
              </m:r>
            </m:sub>
          </m:sSub>
          <m:r>
            <m:rPr>
              <m:sty m:val="p"/>
            </m:rPr>
            <m:t xml:space="preserve">]</m:t>
          </m:r>
          <m:r>
            <m:rPr>
              <m:sty m:val="p"/>
            </m:rPr>
            <m:t xml:space="preserve">,   </m:t>
          </m:r>
          <m:r>
            <m:t xml:space="preserve">Y</m:t>
          </m:r>
          <m:r>
            <m:rPr>
              <m:sty m:val="p"/>
            </m:rPr>
            <m:t xml:space="preserve"> = </m:t>
          </m:r>
          <m:r>
            <m:t xml:space="preserve">C</m:t>
          </m:r>
          <m:r>
            <m:rPr>
              <m:sty m:val="p"/>
            </m:rPr>
            <m:t xml:space="preserve">/</m:t>
          </m:r>
          <m:r>
            <m:t xml:space="preserve">B</m:t>
          </m:r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f>
            <m:num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− </m:t>
              </m:r>
              <m:r>
                <m:t xml:space="preserve">Y</m:t>
              </m:r>
            </m:num>
            <m:den>
              <m:sSub>
                <m:e>
                  <m:r>
                    <m:t xml:space="preserve">η</m:t>
                  </m:r>
                </m:e>
                <m:sub>
                  <m:r>
                    <m:rPr>
                      <m:sty m:val="p"/>
                    </m:rPr>
                    <m:t xml:space="preserve">0</m:t>
                  </m:r>
                </m:sub>
              </m:sSub>
              <m:r>
                <m:rPr>
                  <m:sty m:val="p"/>
                </m:rPr>
                <m:t xml:space="preserve"> + </m:t>
              </m:r>
              <m:r>
                <m:t xml:space="preserve">Y</m:t>
              </m:r>
            </m:den>
          </m:f>
          <m:r>
            <m:rPr>
              <m:sty m:val="p"/>
            </m:rPr>
            <m:t xml:space="preserve">,   </m:t>
          </m:r>
          <m:r>
            <m:t xml:space="preserve">R</m:t>
          </m:r>
          <m:r>
            <m:rPr>
              <m:sty m:val="p"/>
            </m:rPr>
            <m:t xml:space="preserve"> = </m:t>
          </m:r>
          <m:sSup>
            <m:e>
              <m:d>
                <m:dPr>
                  <m:begChr m:val="|"/>
                  <m:endChr m:val="|"/>
                </m:dPr>
                <m:e>
                  <m:r>
                    <m:t xml:space="preserve">r</m:t>
                  </m:r>
                </m:e>
              </m:d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即由等效导纳 Y = C/B 得到反射系数 r 与反射率 R。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</w:t>
      </w:r>
    </w:p>
    <w:p>
      <m:oMathPara>
        <m:oMath>
          <m:r>
            <m:t xml:space="preserve">Y</m:t>
          </m:r>
          <m:r>
            <m:rPr>
              <m:sty m:val="p"/>
            </m:rPr>
            <m:t xml:space="preserve"> ← </m:t>
          </m:r>
          <m:f>
            <m:num>
              <m:r>
                <m:t xml:space="preserve">Y</m:t>
              </m:r>
              <m:r>
                <m:rPr>
                  <m:sty m:val="p"/>
                </m:rPr>
                <m:t xml:space="preserve"> 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r>
                <m:t xml:space="preserve">η</m:t>
              </m:r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num>
            <m:den>
              <m:r>
                <m:rPr>
                  <m:sty m:val="p"/>
                </m:rPr>
                <m:t xml:space="preserve">cos </m:t>
              </m:r>
              <m:r>
                <m:t xml:space="preserve">δ</m:t>
              </m:r>
              <m:r>
                <m:rPr>
                  <m:sty m:val="p"/>
                </m:rPr>
                <m:t xml:space="preserve"> + i </m:t>
              </m:r>
              <m:d>
                <m:dPr>
                  <m:begChr m:val="("/>
                  <m:endChr m:val=")"/>
                </m:dPr>
                <m:e>
                  <m:r>
                    <m:t xml:space="preserve">Y</m:t>
                  </m:r>
                  <m:r>
                    <m:rPr>
                      <m:sty m:val="p"/>
                    </m:rPr>
                    <m:t xml:space="preserve">/</m:t>
                  </m:r>
                  <m:r>
                    <m:t xml:space="preserve">η</m:t>
                  </m:r>
                </m:e>
              </m:d>
              <m:r>
                <m:rPr>
                  <m:sty m:val="p"/>
                </m:rPr>
                <m:t xml:space="preserve"> sin </m:t>
              </m:r>
              <m:r>
                <m:t xml:space="preserve">δ</m:t>
              </m:r>
            </m:den>
          </m:f>
        </m:oMath>
      </m:oMathPara>
    </w:p>
    <w:p>
      <w:pPr>
        <w:spacing w:line="254" w:lineRule="auto" w:after="20"/>
        <w:ind w:firstLine="400"/>
        <w:jc w:val="both"/>
      </w:pPr>
      <w:r>
        <w:rPr>
          <w:sz w:val="20"/>
        </w:rPr>
        <w:t>二者数学等价但代码路径不同，用于互相验错。校核结果：裸基底与解析值 4.258% 差 7×10⁻¹⁸；四分之一波长膜系在 480 nm 处与导纳链解析值 0.6589 差 1×10⁻¹⁶；200 组单层膜与解析式的最大偏差 6×10⁻¹⁶；两套实现在 2000 组随机膜厚上的最大差异 9×10⁻¹⁶；与在线 TMM 工具核对的最大偏差 6×10⁻¹⁶。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175759" cy="2292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5759" cy="229209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数据生成：(a) 膜系结构与折射率（n</w:t>
      </w:r>
      <w:r>
        <w:rPr>
          <w:sz w:val="17"/>
          <w:vertAlign w:val="subscript"/>
        </w:rPr>
        <w:t>H</w:t>
      </w:r>
      <w:r>
        <w:rPr>
          <w:sz w:val="17"/>
        </w:rPr>
        <w:t>、n</w:t>
      </w:r>
      <w:r>
        <w:rPr>
          <w:sz w:val="17"/>
          <w:vertAlign w:val="subscript"/>
        </w:rPr>
        <w:t>L</w:t>
      </w:r>
      <w:r>
        <w:rPr>
          <w:sz w:val="17"/>
        </w:rPr>
        <w:t>、n</w:t>
      </w:r>
      <w:r>
        <w:rPr>
          <w:sz w:val="17"/>
          <w:vertAlign w:val="subscript"/>
        </w:rPr>
        <w:t>s</w:t>
      </w:r>
      <w:r>
        <w:rPr>
          <w:sz w:val="17"/>
        </w:rPr>
        <w:t>）；(b) 三条代表性反射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光谱，虚线为 λ_target = 480 nm；(c) 5000 组样本在目标波长处的反射率分布，橙色虚线为物理上限。</w:t>
      </w:r>
    </w:p>
    <w:p>
      <w:pPr>
        <w:pStyle w:val="21"/>
        <w:spacing w:before="100" w:after="20"/>
      </w:pPr>
      <w:r>
        <w:t>2.2 个人目标波长与随机种子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>
      <w:pPr>
        <w:pStyle w:val="21"/>
        <w:spacing w:before="100" w:after="20"/>
      </w:pPr>
      <w:r>
        <w:t>2.3 数据集生成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>
      <w:pPr>
        <w:pStyle w:val="21"/>
        <w:spacing w:before="100" w:after="20"/>
      </w:pPr>
      <w:r>
        <w:t>2.4 MLP 代理模型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2.8×10⁴。损失为均方误差（MSE），优化器 Adam（学习率 3×10⁻³，批大小 256），最多训练 4000 轮，以验证集损失早停（耐心 400 轮）并取验证集最优权重。数组运算与自动微分分别由 NumPy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_Ref10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10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与 PyTorch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_Ref11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11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 xml:space="preserve"> 提供，训练在 CPU 上完成，单次约 211.7 s；数据量实验中各模型除样本数与初始化种子外超参数完全一致。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959352" cy="1898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9352" cy="18989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  <w:spacing w:before="100" w:after="20"/>
      </w:pPr>
      <w:r>
        <w:t>2.5 训练数据量实验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从固定训练池中依次取前 500、1000、2000、4000 组训练，验证集与测试集固定不变；每水平用 3 个种子重复以抑制初始化波动，并对 MSE-样本数做双对数拟合得到幂律指数 α。</w:t>
      </w:r>
    </w:p>
    <w:p>
      <w:pPr>
        <w:pStyle w:val="21"/>
        <w:spacing w:before="100" w:after="20"/>
      </w:pPr>
      <w:r>
        <w:t>2.6 MLP 辅助薄膜筛选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在 40–180 nm 内均匀生成 10000 组候选，MLP 预测其 41 点光谱后按 λ_target 处反射率降序取前 10 名。为检验排名可信度，对全部候选重算 TMM 真值，计算预测与真值排序的 Spearman 系数、Top10 召回率，并按真值重排得到最终 Top5。性能参照为 λ_target 处的物理上限，由解析四分之一波长条件与全局优化分别给出。</w:t>
      </w:r>
    </w:p>
    <w:p>
      <w:pPr>
        <w:pStyle w:val="1"/>
        <w:spacing w:before="120" w:after="40"/>
      </w:pPr>
      <w:r>
        <w:t>3. 结果</w:t>
      </w:r>
    </w:p>
    <w:p>
      <w:pPr>
        <w:pStyle w:val="21"/>
        <w:spacing w:before="100" w:after="20"/>
      </w:pPr>
      <w:r>
        <w:t>3.1 训练与光谱预测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8888" cy="12557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8888" cy="125577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训练集与验证集的损失曲线：(a) 全部 4000 轮；(b) 收敛段放大，虚线标注验证集最优轮次。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固定测试集（500 组）上 MAE 为 0.00638，RMSE 为 0.0086，R² = 0.9977，单点最大绝对偏差 0.054；短波端误差略大（400 nm 处 0.0135），长波端最小（780 nm 处 0.0038）。图 5 给出三个代表性样本，误差较大者在 400–550 nm 明显振荡。目标波长处预测与真值的 Pearson 相关系数为 0.9984，MAE = 0.00786，偏差 +0.00093。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5129784" cy="20513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9784" cy="205130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预测的光谱对比：(a)(b)(c) 误差由小到大的三个代表性样本；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(d) 目标波长处的预测—真值散点。</w:t>
      </w:r>
    </w:p>
    <w:p>
      <w:pPr>
        <w:pStyle w:val="21"/>
        <w:spacing w:before="100" w:after="20"/>
      </w:pPr>
      <w:r>
        <w:t>3.2 训练数据量的影响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12131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12131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  <w:spacing w:before="100" w:after="20"/>
      </w:pPr>
      <w:r>
        <w:t>3.3 MLP 辅助薄膜设计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1826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18262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  <w:spacing w:before="100" w:after="20"/>
      </w:pPr>
      <w:r>
        <w:t>3.4 代表性失败案例与误差来源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第一，波长采样不足可以直接排除：干涉条纹间距的中位数为 180 nm、最小 120 nm，按 Nyquist 判据只需 ≤ 60 nm，而本文用 10 nm，冗余 6 倍。第二，光谱陡峭度与膜厚灵敏度均只有弱相关或不显著：逐样本 MSE 与相邻波长平均变化幅度的相关系数为 0.207（r² = 0.043），与总光学厚度为 0.148，与差分法估计的 |∂R/∂d|为 -0.078（不显著）。第三，局部采样密度相关性最强：测试样本到训练集的第 10 近邻距离与逐样本 MSE 的相关系数为 0.370（r² = 0.137），最稀疏组的平均 MSE 比最密集组高 48%（图 8b）。可见误差的主导来源是训练样本在膜厚空间中的局部稀疏。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4821936" cy="1554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1936" cy="1554480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最大误差样本（膜厚 179.9, 158.6, 147.6, 73.5 nm）的 TMM 与 MLP 光谱，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插图为预测残差 ΔR；(b) 逐样本误差与局部采样密度的关系。</w:t>
      </w:r>
    </w:p>
    <w:p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H w:val="none" w:sz="0"/>
          <w:insideV w:val="none" w:sz="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>
      <w:pPr>
        <w:pStyle w:val="1"/>
        <w:spacing w:before="120" w:after="40"/>
      </w:pPr>
      <w:r>
        <w:t>4. 讨论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0.9984。失败样本的归因表明，限制精度的不是光谱的高频成分（10 nm 采样对最小条纹间距仍有约 6 倍冗余），而是训练样本在四维膜厚空间中的局部稀疏：第 10 近邻距离与误差的相关系数为 0.370，最稀疏组误差比最密集组高 48%。这有直接的可操作性：与其扩大均匀样本量，不如在误差较大的区域补充样本。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</w:t>
      </w:r>
      <w:r>
        <w:rPr>
          <w:sz w:val="20"/>
          <w:vertAlign w:val="superscript"/>
        </w:rPr>
        <w:t>[</w:t>
      </w:r>
      <w:r>
        <w:rPr>
          <w:vertAlign w:val="superscript"/>
        </w:rPr>
        <w:fldChar w:fldCharType="begin"/>
      </w:r>
      <w:r>
        <w:rPr>
          <w:vertAlign w:val="superscript"/>
        </w:rPr>
        <w:instrText xml:space="preserve"> REF _Ref12 \h </w:instrText>
      </w:r>
      <w:r>
        <w:rPr>
          <w:vertAlign w:val="superscript"/>
        </w:rPr>
        <w:fldChar w:fldCharType="separate"/>
      </w:r>
      <w:r>
        <w:rPr>
          <w:vertAlign w:val="superscript"/>
        </w:rPr>
        <w:t>12</w:t>
      </w:r>
      <w:r>
        <w:rPr>
          <w:vertAlign w:val="superscript"/>
        </w:rPr>
        <w:fldChar w:fldCharType="end"/>
      </w:r>
      <w:r>
        <w:rPr>
          <w:sz w:val="20"/>
          <w:vertAlign w:val="superscript"/>
        </w:rPr>
        <w:t>]</w:t>
      </w:r>
      <w:r>
        <w:rPr>
          <w:sz w:val="20"/>
        </w:rPr>
        <w:t>，说明在给定采样间隔与网络容量下，继续增加均匀随机样本的收益有限。需说明的是，该拟合仅基于 4 个数据量水平、每个水平 3 个种子，α 应视为趋势性估计。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0.42 s，而"MLP 预测全部候选 + TMM 复核 Top10"需 0.005 s，绝对耗时都很小；批量推理时 MLP 的单候选耗时约为 TMM 的 1/138，但单点调用因框架固定开销反而不占优势。按实测，候选规模需超过约 501 组，节省的时间才能收回训练成本。其真正价值在于前向计算昂贵（层数多、含色散与吸收、斜入射）或候选空间极大的场景。即便排名一致性很高，代理模型也无法分辨最优尾部：顶部 0.1% 候选的真值跨度（0.0069）小于其预测误差（0.00786）；把 λ_target 处权重提高 10 倍可将该处误差降至 0.00597，Top1 的身份仍不稳定。稳妥的分工是"代理模型压缩候选规模、TMM 最终裁决"。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本研究有四点局限。第一，误差仍有约 86% 的方差未被所考察特征解释，说明除采样密度外还有其他因素（如网络容量与优化随机性）。第二，局部加密实验中的加密样本与高反射测试集取自同一分布（σ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0.0010，逐层 σ = 2 nm 时平均降 0.0018、最差降 0.0158，说明设计对制造误差总体不敏感，但极端误差仍会削弱性能。</w:t>
      </w:r>
    </w:p>
    <w:p>
      <w:pPr>
        <w:pStyle w:val="1"/>
        <w:spacing w:before="120" w:after="40"/>
      </w:pPr>
      <w:r>
        <w:t>5. 结论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幂律下降并呈边际收益递减；在 10000 组候选中其排序与 TMM 真值的相关系数达 0.9983，所选设计经 TMM 复核达理论上限的 99.8%。代理模型适合压缩候选规模，尾部名次仍需 TMM 裁决。</w:t>
      </w:r>
    </w:p>
    <w:p>
      <w:pPr>
        <w:pStyle w:val="1"/>
        <w:spacing w:before="120" w:after="40"/>
      </w:pPr>
      <w:r>
        <w:t>数据与代码可用性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>
      <w:pPr>
        <w:spacing w:after="20"/>
        <w:jc w:val="left"/>
      </w:pPr>
      <w:hyperlink r:id="rId23">
        <w:r>
          <w:rPr>
            <w:color w:val="0563C1"/>
            <w:u w:val="single"/>
            <w:sz w:val="19"/>
          </w:rPr>
          <w:t xml:space="preserve">https://github.com/Amao0333/ai4s-mlp-thinfilm</w:t>
        </w:r>
      </w:hyperlink>
    </w:p>
    <w:p>
      <w:pPr>
        <w:spacing w:line="254" w:lineRule="auto" w:after="20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1"/>
        <w:spacing w:before="120" w:after="40"/>
      </w:pPr>
      <w:r>
        <w:t>参考文献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1" w:name="_Ref1"/>
      <w:r>
        <w:rPr>
          <w:sz w:val="14"/>
        </w:rPr>
        <w:t>1</w:t>
      </w:r>
      <w:bookmarkEnd w:id="1001"/>
      <w:r>
        <w:rPr>
          <w:sz w:val="14"/>
        </w:rPr>
        <w:t xml:space="preserve">] </w:t>
      </w:r>
      <w:r>
        <w:rPr>
          <w:sz w:val="14"/>
        </w:rPr>
        <w:t>MACLEOD H A. Thin-Film Optical Filters[M/OL]. 5th ed. Boca Raton: CRC Press, 2017. DOI:10.1201/b21960.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2" w:name="_Ref2"/>
      <w:r>
        <w:rPr>
          <w:sz w:val="14"/>
        </w:rPr>
        <w:t>2</w:t>
      </w:r>
      <w:bookmarkEnd w:id="1002"/>
      <w:r>
        <w:rPr>
          <w:sz w:val="14"/>
        </w:rPr>
        <w:t xml:space="preserve">] </w:t>
      </w:r>
      <w:r>
        <w:rPr>
          <w:sz w:val="14"/>
        </w:rPr>
        <w:t>唐晋发, 顾培夫, 刘旭, 等. 现代光学薄膜技术[M]. 杭州: 浙江大学出版社, 2006.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3" w:name="_Ref3"/>
      <w:r>
        <w:rPr>
          <w:sz w:val="14"/>
        </w:rPr>
        <w:t>3</w:t>
      </w:r>
      <w:bookmarkEnd w:id="1003"/>
      <w:r>
        <w:rPr>
          <w:sz w:val="14"/>
        </w:rPr>
        <w:t xml:space="preserve">] </w:t>
      </w:r>
      <w:r>
        <w:rPr>
          <w:sz w:val="14"/>
        </w:rPr>
        <w:t>SULLIVAN B T, DOBROWOLSKI J A. Implementation of a numerical needle method for thin-film design[J/OL]. Applied Optics, 1996, 35(28): 5484. DOI:10.1364/ao.35.005484.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4" w:name="_Ref4"/>
      <w:r>
        <w:rPr>
          <w:sz w:val="14"/>
        </w:rPr>
        <w:t>4</w:t>
      </w:r>
      <w:bookmarkEnd w:id="1004"/>
      <w:r>
        <w:rPr>
          <w:sz w:val="14"/>
        </w:rPr>
        <w:t xml:space="preserve">] </w:t>
      </w:r>
      <w:r>
        <w:rPr>
          <w:sz w:val="14"/>
        </w:rPr>
        <w:t>MA T, MA M, GUO L J. Optical multilayer thin film structure inverse design: From optimization to deep learning[J/OL]. iScience, 2025, 28(4): 112222. DOI:10.1016/j.isci.2025.112222.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5" w:name="_Ref5"/>
      <w:r>
        <w:rPr>
          <w:sz w:val="14"/>
        </w:rPr>
        <w:t>5</w:t>
      </w:r>
      <w:bookmarkEnd w:id="1005"/>
      <w:r>
        <w:rPr>
          <w:sz w:val="14"/>
        </w:rPr>
        <w:t xml:space="preserve">] </w:t>
      </w:r>
      <w:r>
        <w:rPr>
          <w:sz w:val="14"/>
        </w:rPr>
        <w:t>PEURIFOY J, SHEN Y, JING L, et al. Nanophotonic particle simulation and inverse design using artificial neural networks[J/OL]. Science Advances, 2018, 4(6): eaar4206. DOI:10.1126/sciadv.aar4206.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6" w:name="_Ref6"/>
      <w:r>
        <w:rPr>
          <w:sz w:val="14"/>
        </w:rPr>
        <w:t>6</w:t>
      </w:r>
      <w:bookmarkEnd w:id="1006"/>
      <w:r>
        <w:rPr>
          <w:sz w:val="14"/>
        </w:rPr>
        <w:t xml:space="preserve">] </w:t>
      </w:r>
      <w:r>
        <w:rPr>
          <w:sz w:val="14"/>
        </w:rPr>
        <w:t>LIU D, TAN Y, KHORAM E, et al. Training Deep Neural Networks for the Inverse Design of Nanophotonic Structures[J/OL]. ACS Photonics, 2018, 5(4): 1365-1369. DOI:10.1021/acsphotonics.7b01377.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7" w:name="_Ref7"/>
      <w:r>
        <w:rPr>
          <w:sz w:val="14"/>
        </w:rPr>
        <w:t>7</w:t>
      </w:r>
      <w:bookmarkEnd w:id="1007"/>
      <w:r>
        <w:rPr>
          <w:sz w:val="14"/>
        </w:rPr>
        <w:t xml:space="preserve">] </w:t>
      </w:r>
      <w:r>
        <w:rPr>
          <w:sz w:val="14"/>
        </w:rPr>
        <w:t>MA T, WANG H, GUO L J. OptoGPT: A foundation model for inverse design in optical multilayer thin film structures[J/OL]. Opto-Electronic Advances, 2024, 7(7): 240062. DOI:10.29026/oea.2024.240062.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8" w:name="_Ref8"/>
      <w:r>
        <w:rPr>
          <w:sz w:val="14"/>
        </w:rPr>
        <w:t>8</w:t>
      </w:r>
      <w:bookmarkEnd w:id="1008"/>
      <w:r>
        <w:rPr>
          <w:sz w:val="14"/>
        </w:rPr>
        <w:t xml:space="preserve">] </w:t>
      </w:r>
      <w:r>
        <w:rPr>
          <w:sz w:val="14"/>
        </w:rPr>
        <w:t>SWE S K, NOH H. Inverse Design of Reflectionless Thin-Film Multilayers with Optical Absorption Utilizing Tandem Neural Network[J/OL]. Photonics, 2024, 11(10): 964. DOI:10.3390/photonics11100964.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09" w:name="_Ref9"/>
      <w:r>
        <w:rPr>
          <w:sz w:val="14"/>
        </w:rPr>
        <w:t>9</w:t>
      </w:r>
      <w:bookmarkEnd w:id="1009"/>
      <w:r>
        <w:rPr>
          <w:sz w:val="14"/>
        </w:rPr>
        <w:t xml:space="preserve">] </w:t>
      </w:r>
      <w:r>
        <w:rPr>
          <w:sz w:val="14"/>
        </w:rPr>
        <w:t>MALKIEL I, MREJEN M, NAGLER A, et al. Plasmonic nanostructure design and characterization via Deep Learning[J/OL]. Light: Science &amp; Applications, 2018, 7(1): 60. DOI:10.1038/s41377-018-0060-7.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0" w:name="_Ref10"/>
      <w:r>
        <w:rPr>
          <w:sz w:val="14"/>
        </w:rPr>
        <w:t>10</w:t>
      </w:r>
      <w:bookmarkEnd w:id="1010"/>
      <w:r>
        <w:rPr>
          <w:sz w:val="14"/>
        </w:rPr>
        <w:t xml:space="preserve">] </w:t>
      </w:r>
      <w:r>
        <w:rPr>
          <w:sz w:val="14"/>
        </w:rPr>
        <w:t>HARRIS C R, MILLMAN K J, VAN DER WALT S J, et al. Array programming with NumPy[J/OL]. Nature, 2020, 585(7825): 357-362. DOI:10.1038/s41586-020-2649-2.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1" w:name="_Ref11"/>
      <w:r>
        <w:rPr>
          <w:sz w:val="14"/>
        </w:rPr>
        <w:t>11</w:t>
      </w:r>
      <w:bookmarkEnd w:id="1011"/>
      <w:r>
        <w:rPr>
          <w:sz w:val="14"/>
        </w:rPr>
        <w:t xml:space="preserve">] </w:t>
      </w:r>
      <w:r>
        <w:rPr>
          <w:sz w:val="14"/>
        </w:rPr>
        <w:t>PASZKE A, GROSS S, MASSA F, et al. PyTorch: An Imperative Style, High-Performance Deep Learning Library[C/OL]//Advances in Neural Information Processing Systems: Vol. 32. Curran Associates, Inc., 2019. https://arxiv.org/abs/1912.01703.</w:t>
      </w:r>
    </w:p>
    <w:p>
      <w:pPr>
        <w:spacing w:after="4"/>
        <w:ind w:left="300" w:hanging="300"/>
      </w:pPr>
      <w:r>
        <w:rPr>
          <w:sz w:val="14"/>
        </w:rPr>
        <w:t>[</w:t>
      </w:r>
      <w:bookmarkStart w:id="1012" w:name="_Ref12"/>
      <w:r>
        <w:rPr>
          <w:sz w:val="14"/>
        </w:rPr>
        <w:t>12</w:t>
      </w:r>
      <w:bookmarkEnd w:id="1012"/>
      <w:r>
        <w:rPr>
          <w:sz w:val="14"/>
        </w:rPr>
        <w:t xml:space="preserve">] </w:t>
      </w:r>
      <w:r>
        <w:rPr>
          <w:sz w:val="14"/>
        </w:rPr>
        <w:t>HESTNESS J, NARANG S, ARDALANI N, et al. Deep Learning Scaling is Predictable, Empirically[EB/OL]. arXiv, 2017: arXiv:1712.00409. https://arxiv.org/abs/1712.00409.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num="2"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hyperlink" Target="https://github.com/Amao0333/ai4s-mlp-thinfil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